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71EC4" w14:textId="0491F0C5" w:rsidR="00967C55" w:rsidRPr="001A1FCC" w:rsidRDefault="00D75C7A">
      <w:pPr>
        <w:spacing w:after="169" w:line="269" w:lineRule="auto"/>
        <w:ind w:left="-5" w:hanging="10"/>
        <w:rPr>
          <w:b/>
          <w:bCs/>
          <w:sz w:val="20"/>
          <w:szCs w:val="20"/>
        </w:rPr>
      </w:pPr>
      <w:r w:rsidRPr="001A1FCC">
        <w:rPr>
          <w:b/>
          <w:bCs/>
          <w:sz w:val="20"/>
          <w:szCs w:val="20"/>
        </w:rPr>
        <w:t>2 de Nota van inlichtingen energiecontract Cure 2027 tot en met 2030</w:t>
      </w:r>
    </w:p>
    <w:p w14:paraId="22D40D23" w14:textId="77777777" w:rsidR="00967C55" w:rsidRPr="001A1FCC" w:rsidRDefault="00967C55">
      <w:pPr>
        <w:spacing w:after="183" w:line="259" w:lineRule="auto"/>
        <w:rPr>
          <w:sz w:val="20"/>
          <w:szCs w:val="20"/>
        </w:rPr>
      </w:pPr>
      <w:r w:rsidRPr="001A1FCC">
        <w:rPr>
          <w:rFonts w:eastAsia="Calibri" w:cs="Calibri"/>
          <w:sz w:val="20"/>
          <w:szCs w:val="20"/>
        </w:rPr>
        <w:t xml:space="preserve"> </w:t>
      </w:r>
    </w:p>
    <w:p w14:paraId="3C08B994" w14:textId="77777777" w:rsidR="00967C55" w:rsidRPr="001A1FCC" w:rsidRDefault="00967C55">
      <w:pPr>
        <w:spacing w:after="23" w:line="259" w:lineRule="auto"/>
        <w:ind w:left="-5" w:hanging="10"/>
        <w:rPr>
          <w:sz w:val="20"/>
          <w:szCs w:val="20"/>
        </w:rPr>
      </w:pPr>
      <w:r w:rsidRPr="001A1FCC">
        <w:rPr>
          <w:rFonts w:eastAsia="Calibri" w:cs="Calibri"/>
          <w:b/>
          <w:sz w:val="20"/>
          <w:szCs w:val="20"/>
        </w:rPr>
        <w:t xml:space="preserve">Onderstaande vraag heeft betrekking op </w:t>
      </w:r>
      <w:r w:rsidRPr="001A1FCC">
        <w:rPr>
          <w:rFonts w:eastAsia="Calibri" w:cs="Calibri"/>
          <w:b/>
          <w:sz w:val="20"/>
          <w:szCs w:val="20"/>
          <w:u w:val="single" w:color="000000"/>
        </w:rPr>
        <w:t>‘jaarcijfers’</w:t>
      </w:r>
      <w:r w:rsidRPr="001A1FCC">
        <w:rPr>
          <w:rFonts w:eastAsia="Calibri" w:cs="Calibri"/>
          <w:b/>
          <w:sz w:val="20"/>
          <w:szCs w:val="20"/>
        </w:rPr>
        <w:t>:</w:t>
      </w:r>
      <w:r w:rsidRPr="001A1FCC">
        <w:rPr>
          <w:rFonts w:eastAsia="Calibri" w:cs="Calibri"/>
          <w:sz w:val="20"/>
          <w:szCs w:val="20"/>
        </w:rPr>
        <w:t xml:space="preserve"> </w:t>
      </w:r>
    </w:p>
    <w:p w14:paraId="35C42FA5" w14:textId="0D84C2B0" w:rsidR="00967C55" w:rsidRPr="001A1FCC" w:rsidRDefault="00967C55" w:rsidP="003161FA">
      <w:pPr>
        <w:pStyle w:val="Lijstalinea"/>
        <w:numPr>
          <w:ilvl w:val="0"/>
          <w:numId w:val="1"/>
        </w:numPr>
        <w:spacing w:after="169" w:line="269" w:lineRule="auto"/>
        <w:rPr>
          <w:rFonts w:eastAsia="Calibri" w:cs="Calibri"/>
          <w:sz w:val="20"/>
          <w:szCs w:val="20"/>
        </w:rPr>
      </w:pPr>
      <w:r w:rsidRPr="001A1FCC">
        <w:rPr>
          <w:sz w:val="20"/>
          <w:szCs w:val="20"/>
        </w:rPr>
        <w:t>AD heeft geen jaarcijfers gedeponeerd. Kan AD de meest recente jaarcijfers aanleveren?</w:t>
      </w:r>
      <w:r w:rsidRPr="001A1FCC">
        <w:rPr>
          <w:rFonts w:eastAsia="Calibri" w:cs="Calibri"/>
          <w:sz w:val="20"/>
          <w:szCs w:val="20"/>
        </w:rPr>
        <w:t xml:space="preserve"> </w:t>
      </w:r>
    </w:p>
    <w:p w14:paraId="4158441A" w14:textId="77777777" w:rsidR="003161FA" w:rsidRPr="001A1FCC" w:rsidRDefault="003161FA" w:rsidP="003161FA">
      <w:pPr>
        <w:pStyle w:val="Lijstalinea"/>
        <w:spacing w:after="169" w:line="269" w:lineRule="auto"/>
        <w:ind w:left="0"/>
        <w:rPr>
          <w:b/>
          <w:bCs/>
          <w:sz w:val="20"/>
          <w:szCs w:val="20"/>
        </w:rPr>
      </w:pPr>
    </w:p>
    <w:p w14:paraId="15919819" w14:textId="45EB20EC" w:rsidR="003161FA" w:rsidRPr="001A1FCC" w:rsidRDefault="003161FA" w:rsidP="003161FA">
      <w:pPr>
        <w:pStyle w:val="Lijstalinea"/>
        <w:spacing w:after="169" w:line="269" w:lineRule="auto"/>
        <w:ind w:left="0"/>
        <w:rPr>
          <w:sz w:val="20"/>
          <w:szCs w:val="20"/>
        </w:rPr>
      </w:pPr>
      <w:r w:rsidRPr="001A1FCC">
        <w:rPr>
          <w:b/>
          <w:bCs/>
          <w:sz w:val="20"/>
          <w:szCs w:val="20"/>
        </w:rPr>
        <w:t xml:space="preserve">Antwoord: </w:t>
      </w:r>
      <w:r w:rsidRPr="001A1FCC">
        <w:rPr>
          <w:sz w:val="20"/>
          <w:szCs w:val="20"/>
        </w:rPr>
        <w:t xml:space="preserve"> </w:t>
      </w:r>
      <w:r w:rsidR="00CB2A98" w:rsidRPr="001A1FCC">
        <w:rPr>
          <w:sz w:val="20"/>
          <w:szCs w:val="20"/>
        </w:rPr>
        <w:t xml:space="preserve">Nee, dat is niet mogelijk. </w:t>
      </w:r>
      <w:r w:rsidRPr="001A1FCC">
        <w:rPr>
          <w:sz w:val="20"/>
          <w:szCs w:val="20"/>
        </w:rPr>
        <w:t xml:space="preserve">De financiële jaarcijfers worden in september aan de gemeenteraad ter goedkeuring voorgelegd en zijn dus niet voorradig. Wat de </w:t>
      </w:r>
      <w:proofErr w:type="spellStart"/>
      <w:r w:rsidRPr="001A1FCC">
        <w:rPr>
          <w:sz w:val="20"/>
          <w:szCs w:val="20"/>
        </w:rPr>
        <w:t>jaarverbruiken</w:t>
      </w:r>
      <w:proofErr w:type="spellEnd"/>
      <w:r w:rsidRPr="001A1FCC">
        <w:rPr>
          <w:sz w:val="20"/>
          <w:szCs w:val="20"/>
        </w:rPr>
        <w:t xml:space="preserve"> en de prognoses betreffen zijn deze opgenomen in de beschikbaar gestelde aanbestedingsdocumenten.</w:t>
      </w:r>
    </w:p>
    <w:p w14:paraId="26B6027D" w14:textId="77777777" w:rsidR="00967C55" w:rsidRPr="001A1FCC" w:rsidRDefault="00967C55">
      <w:pPr>
        <w:spacing w:after="183" w:line="259" w:lineRule="auto"/>
        <w:ind w:left="-5" w:hanging="10"/>
        <w:rPr>
          <w:sz w:val="20"/>
          <w:szCs w:val="20"/>
        </w:rPr>
      </w:pPr>
      <w:r w:rsidRPr="001A1FCC">
        <w:rPr>
          <w:rFonts w:eastAsia="Calibri" w:cs="Calibri"/>
          <w:b/>
          <w:sz w:val="20"/>
          <w:szCs w:val="20"/>
        </w:rPr>
        <w:t xml:space="preserve">Onderstaande vragen hebben betrekking op </w:t>
      </w:r>
      <w:r w:rsidRPr="001A1FCC">
        <w:rPr>
          <w:rFonts w:eastAsia="Calibri" w:cs="Calibri"/>
          <w:b/>
          <w:sz w:val="20"/>
          <w:szCs w:val="20"/>
          <w:u w:val="single" w:color="000000"/>
        </w:rPr>
        <w:t>‘inkoopvoorwaarden’</w:t>
      </w:r>
      <w:r w:rsidRPr="001A1FCC">
        <w:rPr>
          <w:rFonts w:eastAsia="Calibri" w:cs="Calibri"/>
          <w:b/>
          <w:sz w:val="20"/>
          <w:szCs w:val="20"/>
        </w:rPr>
        <w:t xml:space="preserve">: </w:t>
      </w:r>
    </w:p>
    <w:p w14:paraId="2F8A4F8D" w14:textId="4747AD5A" w:rsidR="00BB340B" w:rsidRPr="001A1FCC" w:rsidRDefault="00967C55">
      <w:pPr>
        <w:spacing w:after="0" w:line="269" w:lineRule="auto"/>
        <w:ind w:left="-5" w:hanging="10"/>
        <w:rPr>
          <w:rFonts w:eastAsia="Calibri" w:cs="Calibri"/>
          <w:sz w:val="20"/>
          <w:szCs w:val="20"/>
        </w:rPr>
      </w:pPr>
      <w:r w:rsidRPr="001A1FCC">
        <w:rPr>
          <w:sz w:val="20"/>
          <w:szCs w:val="20"/>
        </w:rPr>
        <w:t>Zie voorstel positie / voorbehoud. Is dit akkoord voor AD per onderstaand punt?</w:t>
      </w:r>
      <w:r w:rsidRPr="001A1FCC">
        <w:rPr>
          <w:rFonts w:eastAsia="Calibri" w:cs="Calibri"/>
          <w:sz w:val="20"/>
          <w:szCs w:val="20"/>
        </w:rPr>
        <w:t xml:space="preserve"> </w:t>
      </w:r>
    </w:p>
    <w:p w14:paraId="681A9B67" w14:textId="2DA48CC5" w:rsidR="00967C55" w:rsidRPr="001A1FCC" w:rsidRDefault="000A36A4" w:rsidP="00AD7775">
      <w:pPr>
        <w:rPr>
          <w:sz w:val="20"/>
          <w:szCs w:val="20"/>
        </w:rPr>
      </w:pPr>
      <w:r w:rsidRPr="001A1FCC">
        <w:rPr>
          <w:rFonts w:eastAsia="Calibri" w:cs="Calibri"/>
          <w:sz w:val="20"/>
          <w:szCs w:val="20"/>
        </w:rPr>
        <w:t xml:space="preserve"> </w:t>
      </w:r>
      <w:r w:rsidR="00967C55" w:rsidRPr="001A1FCC">
        <w:rPr>
          <w:rFonts w:eastAsia="Calibri" w:cs="Calibri"/>
          <w:sz w:val="20"/>
          <w:szCs w:val="20"/>
        </w:rPr>
        <w:t xml:space="preserve"> </w:t>
      </w:r>
    </w:p>
    <w:tbl>
      <w:tblPr>
        <w:tblStyle w:val="TableGrid"/>
        <w:tblW w:w="5000" w:type="pct"/>
        <w:tblInd w:w="0" w:type="dxa"/>
        <w:tblCellMar>
          <w:top w:w="5" w:type="dxa"/>
          <w:left w:w="108" w:type="dxa"/>
          <w:right w:w="93" w:type="dxa"/>
        </w:tblCellMar>
        <w:tblLook w:val="04A0" w:firstRow="1" w:lastRow="0" w:firstColumn="1" w:lastColumn="0" w:noHBand="0" w:noVBand="1"/>
      </w:tblPr>
      <w:tblGrid>
        <w:gridCol w:w="725"/>
        <w:gridCol w:w="1965"/>
        <w:gridCol w:w="4752"/>
        <w:gridCol w:w="3277"/>
        <w:gridCol w:w="3275"/>
      </w:tblGrid>
      <w:tr w:rsidR="00E76BDB" w:rsidRPr="001A1FCC" w14:paraId="494BC61D" w14:textId="27C61713" w:rsidTr="002336BA">
        <w:trPr>
          <w:trHeight w:val="356"/>
        </w:trPr>
        <w:tc>
          <w:tcPr>
            <w:tcW w:w="259" w:type="pct"/>
            <w:tcBorders>
              <w:top w:val="single" w:sz="4" w:space="0" w:color="000000"/>
              <w:left w:val="single" w:sz="4" w:space="0" w:color="000000"/>
              <w:bottom w:val="single" w:sz="4" w:space="0" w:color="000000"/>
              <w:right w:val="single" w:sz="4" w:space="0" w:color="000000"/>
            </w:tcBorders>
          </w:tcPr>
          <w:p w14:paraId="5FC8ADAF" w14:textId="77777777" w:rsidR="00E76BDB" w:rsidRPr="001A1FCC" w:rsidRDefault="00E76BDB">
            <w:pPr>
              <w:spacing w:after="160" w:line="259" w:lineRule="auto"/>
              <w:rPr>
                <w:sz w:val="20"/>
                <w:szCs w:val="20"/>
              </w:rPr>
            </w:pPr>
          </w:p>
        </w:tc>
        <w:tc>
          <w:tcPr>
            <w:tcW w:w="702" w:type="pct"/>
            <w:tcBorders>
              <w:top w:val="single" w:sz="4" w:space="0" w:color="000000"/>
              <w:left w:val="single" w:sz="4" w:space="0" w:color="000000"/>
              <w:bottom w:val="single" w:sz="4" w:space="0" w:color="000000"/>
              <w:right w:val="single" w:sz="4" w:space="0" w:color="000000"/>
            </w:tcBorders>
          </w:tcPr>
          <w:p w14:paraId="30BC08AA" w14:textId="77777777" w:rsidR="00E76BDB" w:rsidRPr="001A1FCC" w:rsidRDefault="00E76BDB">
            <w:pPr>
              <w:spacing w:line="259" w:lineRule="auto"/>
              <w:rPr>
                <w:sz w:val="20"/>
                <w:szCs w:val="20"/>
              </w:rPr>
            </w:pPr>
            <w:r w:rsidRPr="001A1FCC">
              <w:rPr>
                <w:rFonts w:eastAsia="Calibri" w:cs="Calibri"/>
                <w:b/>
                <w:sz w:val="20"/>
                <w:szCs w:val="20"/>
              </w:rPr>
              <w:t xml:space="preserve">AD-artikel </w:t>
            </w:r>
          </w:p>
        </w:tc>
        <w:tc>
          <w:tcPr>
            <w:tcW w:w="1698" w:type="pct"/>
            <w:tcBorders>
              <w:top w:val="single" w:sz="4" w:space="0" w:color="000000"/>
              <w:left w:val="single" w:sz="4" w:space="0" w:color="000000"/>
              <w:bottom w:val="single" w:sz="4" w:space="0" w:color="000000"/>
              <w:right w:val="single" w:sz="4" w:space="0" w:color="000000"/>
            </w:tcBorders>
          </w:tcPr>
          <w:p w14:paraId="38A51F6D" w14:textId="77777777" w:rsidR="00E76BDB" w:rsidRPr="001A1FCC" w:rsidRDefault="00E76BDB">
            <w:pPr>
              <w:spacing w:line="259" w:lineRule="auto"/>
              <w:rPr>
                <w:sz w:val="20"/>
                <w:szCs w:val="20"/>
              </w:rPr>
            </w:pPr>
            <w:r w:rsidRPr="001A1FCC">
              <w:rPr>
                <w:rFonts w:eastAsia="Calibri" w:cs="Calibri"/>
                <w:b/>
                <w:sz w:val="20"/>
                <w:szCs w:val="20"/>
              </w:rPr>
              <w:t xml:space="preserve">Inhoud </w:t>
            </w:r>
          </w:p>
        </w:tc>
        <w:tc>
          <w:tcPr>
            <w:tcW w:w="1171" w:type="pct"/>
            <w:tcBorders>
              <w:top w:val="single" w:sz="4" w:space="0" w:color="000000"/>
              <w:left w:val="single" w:sz="4" w:space="0" w:color="000000"/>
              <w:bottom w:val="single" w:sz="4" w:space="0" w:color="000000"/>
              <w:right w:val="single" w:sz="4" w:space="0" w:color="000000"/>
            </w:tcBorders>
          </w:tcPr>
          <w:p w14:paraId="31B35EE2" w14:textId="77777777" w:rsidR="00E76BDB" w:rsidRPr="001A1FCC" w:rsidRDefault="00E76BDB">
            <w:pPr>
              <w:spacing w:line="259" w:lineRule="auto"/>
              <w:rPr>
                <w:sz w:val="20"/>
                <w:szCs w:val="20"/>
              </w:rPr>
            </w:pPr>
            <w:r w:rsidRPr="001A1FCC">
              <w:rPr>
                <w:rFonts w:eastAsia="Calibri" w:cs="Calibri"/>
                <w:b/>
                <w:sz w:val="20"/>
                <w:szCs w:val="20"/>
              </w:rPr>
              <w:t xml:space="preserve">Voorstel positie / voorbehoud </w:t>
            </w:r>
          </w:p>
        </w:tc>
        <w:tc>
          <w:tcPr>
            <w:tcW w:w="1171" w:type="pct"/>
            <w:tcBorders>
              <w:top w:val="single" w:sz="4" w:space="0" w:color="000000"/>
              <w:left w:val="single" w:sz="4" w:space="0" w:color="000000"/>
              <w:bottom w:val="single" w:sz="4" w:space="0" w:color="000000"/>
              <w:right w:val="single" w:sz="4" w:space="0" w:color="000000"/>
            </w:tcBorders>
          </w:tcPr>
          <w:p w14:paraId="757003D9" w14:textId="58E20BD6" w:rsidR="00E76BDB" w:rsidRPr="001A1FCC" w:rsidRDefault="00D06F44">
            <w:pPr>
              <w:spacing w:line="259" w:lineRule="auto"/>
              <w:rPr>
                <w:rFonts w:eastAsia="Calibri" w:cs="Calibri"/>
                <w:b/>
                <w:sz w:val="20"/>
                <w:szCs w:val="20"/>
              </w:rPr>
            </w:pPr>
            <w:r w:rsidRPr="001A1FCC">
              <w:rPr>
                <w:rFonts w:eastAsia="Calibri" w:cs="Calibri"/>
                <w:b/>
                <w:sz w:val="20"/>
                <w:szCs w:val="20"/>
              </w:rPr>
              <w:t>Antwoord aanbestedende dienst</w:t>
            </w:r>
          </w:p>
        </w:tc>
      </w:tr>
      <w:tr w:rsidR="00E76BDB" w:rsidRPr="001A1FCC" w14:paraId="1B1B6C33" w14:textId="3460554A" w:rsidTr="002336BA">
        <w:trPr>
          <w:trHeight w:val="2435"/>
        </w:trPr>
        <w:tc>
          <w:tcPr>
            <w:tcW w:w="259" w:type="pct"/>
            <w:tcBorders>
              <w:top w:val="single" w:sz="4" w:space="0" w:color="000000"/>
              <w:left w:val="single" w:sz="4" w:space="0" w:color="000000"/>
              <w:bottom w:val="single" w:sz="4" w:space="0" w:color="000000"/>
              <w:right w:val="single" w:sz="4" w:space="0" w:color="000000"/>
            </w:tcBorders>
          </w:tcPr>
          <w:p w14:paraId="7AFC2158" w14:textId="77777777" w:rsidR="00E76BDB" w:rsidRPr="001A1FCC" w:rsidRDefault="00E76BDB">
            <w:pPr>
              <w:spacing w:line="259" w:lineRule="auto"/>
              <w:rPr>
                <w:sz w:val="20"/>
                <w:szCs w:val="20"/>
              </w:rPr>
            </w:pPr>
            <w:r w:rsidRPr="001A1FCC">
              <w:rPr>
                <w:sz w:val="20"/>
                <w:szCs w:val="20"/>
              </w:rPr>
              <w:t>1</w:t>
            </w:r>
            <w:r w:rsidRPr="001A1FCC">
              <w:rPr>
                <w:rFonts w:eastAsia="Calibri" w:cs="Calibri"/>
                <w:sz w:val="20"/>
                <w:szCs w:val="20"/>
              </w:rPr>
              <w:t xml:space="preserve"> </w:t>
            </w:r>
          </w:p>
        </w:tc>
        <w:tc>
          <w:tcPr>
            <w:tcW w:w="702" w:type="pct"/>
            <w:tcBorders>
              <w:top w:val="single" w:sz="4" w:space="0" w:color="000000"/>
              <w:left w:val="single" w:sz="4" w:space="0" w:color="000000"/>
              <w:bottom w:val="single" w:sz="4" w:space="0" w:color="000000"/>
              <w:right w:val="single" w:sz="4" w:space="0" w:color="000000"/>
            </w:tcBorders>
          </w:tcPr>
          <w:p w14:paraId="359832DE" w14:textId="77777777" w:rsidR="00E76BDB" w:rsidRPr="001A1FCC" w:rsidRDefault="00E76BDB">
            <w:pPr>
              <w:spacing w:line="259" w:lineRule="auto"/>
              <w:rPr>
                <w:sz w:val="20"/>
                <w:szCs w:val="20"/>
              </w:rPr>
            </w:pPr>
            <w:r w:rsidRPr="001A1FCC">
              <w:rPr>
                <w:sz w:val="20"/>
                <w:szCs w:val="20"/>
              </w:rPr>
              <w:t>Art. 2.4 – afwijzing algemene voorwaarden leverancier</w:t>
            </w:r>
            <w:r w:rsidRPr="001A1FCC">
              <w:rPr>
                <w:rFonts w:eastAsia="Calibri" w:cs="Calibri"/>
                <w:sz w:val="20"/>
                <w:szCs w:val="20"/>
              </w:rPr>
              <w:t xml:space="preserve"> </w:t>
            </w:r>
          </w:p>
        </w:tc>
        <w:tc>
          <w:tcPr>
            <w:tcW w:w="1698" w:type="pct"/>
            <w:tcBorders>
              <w:top w:val="single" w:sz="4" w:space="0" w:color="000000"/>
              <w:left w:val="single" w:sz="4" w:space="0" w:color="000000"/>
              <w:bottom w:val="single" w:sz="4" w:space="0" w:color="000000"/>
              <w:right w:val="single" w:sz="4" w:space="0" w:color="000000"/>
            </w:tcBorders>
          </w:tcPr>
          <w:p w14:paraId="2AE438E7" w14:textId="77777777" w:rsidR="00E76BDB" w:rsidRPr="001A1FCC" w:rsidRDefault="00E76BDB">
            <w:pPr>
              <w:spacing w:line="259" w:lineRule="auto"/>
              <w:rPr>
                <w:sz w:val="20"/>
                <w:szCs w:val="20"/>
              </w:rPr>
            </w:pPr>
            <w:r w:rsidRPr="001A1FCC">
              <w:rPr>
                <w:sz w:val="20"/>
                <w:szCs w:val="20"/>
              </w:rPr>
              <w:t xml:space="preserve">AD bepaalt dat door het indienen </w:t>
            </w:r>
          </w:p>
          <w:p w14:paraId="1067CFFC" w14:textId="77777777" w:rsidR="00E76BDB" w:rsidRPr="001A1FCC" w:rsidRDefault="00E76BDB">
            <w:pPr>
              <w:rPr>
                <w:sz w:val="20"/>
                <w:szCs w:val="20"/>
              </w:rPr>
            </w:pPr>
            <w:r w:rsidRPr="001A1FCC">
              <w:rPr>
                <w:sz w:val="20"/>
                <w:szCs w:val="20"/>
              </w:rPr>
              <w:t xml:space="preserve">van de offerte de Leverancier de AD-inkoopvoorwaarden onverkort aanvaardt en de toepasselijkheid van eigen algemene voorwaarden en markt- of </w:t>
            </w:r>
            <w:proofErr w:type="spellStart"/>
            <w:r w:rsidRPr="001A1FCC">
              <w:rPr>
                <w:sz w:val="20"/>
                <w:szCs w:val="20"/>
              </w:rPr>
              <w:t>branchespecifieke</w:t>
            </w:r>
            <w:proofErr w:type="spellEnd"/>
            <w:r w:rsidRPr="001A1FCC">
              <w:rPr>
                <w:sz w:val="20"/>
                <w:szCs w:val="20"/>
              </w:rPr>
              <w:t xml:space="preserve"> voorwaarden uitdrukkelijk afwijst. De AD-</w:t>
            </w:r>
          </w:p>
          <w:p w14:paraId="79A2B6C2" w14:textId="354F2EDD" w:rsidR="00E76BDB" w:rsidRPr="001A1FCC" w:rsidRDefault="00E76BDB">
            <w:pPr>
              <w:spacing w:line="259" w:lineRule="auto"/>
              <w:rPr>
                <w:sz w:val="20"/>
                <w:szCs w:val="20"/>
              </w:rPr>
            </w:pPr>
            <w:r w:rsidRPr="001A1FCC">
              <w:rPr>
                <w:sz w:val="20"/>
                <w:szCs w:val="20"/>
              </w:rPr>
              <w:t xml:space="preserve">inkoopvoorwaarden bevatten meerdere bepalingen die niet goed passend zijn voor de </w:t>
            </w:r>
            <w:r w:rsidR="00BB340B" w:rsidRPr="001A1FCC">
              <w:rPr>
                <w:sz w:val="20"/>
                <w:szCs w:val="20"/>
              </w:rPr>
              <w:t xml:space="preserve">levering en </w:t>
            </w:r>
            <w:proofErr w:type="spellStart"/>
            <w:r w:rsidR="00BB340B" w:rsidRPr="001A1FCC">
              <w:rPr>
                <w:sz w:val="20"/>
                <w:szCs w:val="20"/>
              </w:rPr>
              <w:t>teruglevering</w:t>
            </w:r>
            <w:proofErr w:type="spellEnd"/>
            <w:r w:rsidR="00BB340B" w:rsidRPr="001A1FCC">
              <w:rPr>
                <w:sz w:val="20"/>
                <w:szCs w:val="20"/>
              </w:rPr>
              <w:t xml:space="preserve"> van elektriciteit.</w:t>
            </w:r>
          </w:p>
        </w:tc>
        <w:tc>
          <w:tcPr>
            <w:tcW w:w="1171" w:type="pct"/>
            <w:tcBorders>
              <w:top w:val="single" w:sz="4" w:space="0" w:color="000000"/>
              <w:left w:val="single" w:sz="4" w:space="0" w:color="000000"/>
              <w:bottom w:val="single" w:sz="4" w:space="0" w:color="000000"/>
              <w:right w:val="single" w:sz="4" w:space="0" w:color="000000"/>
            </w:tcBorders>
          </w:tcPr>
          <w:p w14:paraId="724A23DD" w14:textId="77777777" w:rsidR="00E76BDB" w:rsidRPr="001A1FCC" w:rsidRDefault="00E76BDB">
            <w:pPr>
              <w:spacing w:line="259" w:lineRule="auto"/>
              <w:rPr>
                <w:sz w:val="20"/>
                <w:szCs w:val="20"/>
              </w:rPr>
            </w:pPr>
            <w:r w:rsidRPr="001A1FCC">
              <w:rPr>
                <w:sz w:val="20"/>
                <w:szCs w:val="20"/>
              </w:rPr>
              <w:t xml:space="preserve">De voorwaarden van </w:t>
            </w:r>
          </w:p>
          <w:p w14:paraId="214ECB00" w14:textId="77777777" w:rsidR="00E76BDB" w:rsidRPr="001A1FCC" w:rsidRDefault="00E76BDB">
            <w:pPr>
              <w:rPr>
                <w:sz w:val="20"/>
                <w:szCs w:val="20"/>
              </w:rPr>
            </w:pPr>
            <w:r w:rsidRPr="001A1FCC">
              <w:rPr>
                <w:sz w:val="20"/>
                <w:szCs w:val="20"/>
              </w:rPr>
              <w:t xml:space="preserve">Leverancier blijven van toepassing. Bij strijdigheid prevaleren de overeenkomst en de voorwaarden van </w:t>
            </w:r>
          </w:p>
          <w:p w14:paraId="66CE8043" w14:textId="77777777" w:rsidR="00E76BDB" w:rsidRPr="001A1FCC" w:rsidRDefault="00E76BDB">
            <w:pPr>
              <w:spacing w:line="259" w:lineRule="auto"/>
              <w:rPr>
                <w:sz w:val="20"/>
                <w:szCs w:val="20"/>
              </w:rPr>
            </w:pPr>
            <w:r w:rsidRPr="001A1FCC">
              <w:rPr>
                <w:sz w:val="20"/>
                <w:szCs w:val="20"/>
              </w:rPr>
              <w:t>Leverancier voor alle energie-specifieke onderwerpen.</w:t>
            </w:r>
            <w:r w:rsidRPr="001A1FCC">
              <w:rPr>
                <w:rFonts w:eastAsia="Calibri" w:cs="Calibri"/>
                <w:sz w:val="20"/>
                <w:szCs w:val="20"/>
              </w:rPr>
              <w:t xml:space="preserve"> </w:t>
            </w:r>
          </w:p>
        </w:tc>
        <w:tc>
          <w:tcPr>
            <w:tcW w:w="1171" w:type="pct"/>
            <w:tcBorders>
              <w:top w:val="single" w:sz="4" w:space="0" w:color="000000"/>
              <w:left w:val="single" w:sz="4" w:space="0" w:color="000000"/>
              <w:bottom w:val="single" w:sz="4" w:space="0" w:color="000000"/>
              <w:right w:val="single" w:sz="4" w:space="0" w:color="000000"/>
            </w:tcBorders>
          </w:tcPr>
          <w:p w14:paraId="1E45EDDD" w14:textId="72ECF837" w:rsidR="00AC0E8E" w:rsidRPr="001A1FCC" w:rsidRDefault="00E76BDB" w:rsidP="00AC0E8E">
            <w:pPr>
              <w:rPr>
                <w:sz w:val="20"/>
                <w:szCs w:val="20"/>
              </w:rPr>
            </w:pPr>
            <w:r w:rsidRPr="001A1FCC">
              <w:rPr>
                <w:sz w:val="20"/>
                <w:szCs w:val="20"/>
              </w:rPr>
              <w:t xml:space="preserve">Eisen zoals gesteld in </w:t>
            </w:r>
            <w:r w:rsidR="00CF661A" w:rsidRPr="001A1FCC">
              <w:rPr>
                <w:sz w:val="20"/>
                <w:szCs w:val="20"/>
              </w:rPr>
              <w:t xml:space="preserve">het PVE &amp; de inkoopvoorwaarden van Cure zijn leidend. </w:t>
            </w:r>
            <w:r w:rsidR="00AC0E8E" w:rsidRPr="001A1FCC">
              <w:rPr>
                <w:sz w:val="20"/>
                <w:szCs w:val="20"/>
              </w:rPr>
              <w:t xml:space="preserve">Bij strijdigheid prevaleren de overeenkomst en de voorwaarden van </w:t>
            </w:r>
          </w:p>
          <w:p w14:paraId="6EB4BFE3" w14:textId="7BC304C2" w:rsidR="00E76BDB" w:rsidRPr="001A1FCC" w:rsidRDefault="00AC0E8E" w:rsidP="00AC0E8E">
            <w:pPr>
              <w:spacing w:line="259" w:lineRule="auto"/>
              <w:rPr>
                <w:color w:val="EE0000"/>
                <w:sz w:val="20"/>
                <w:szCs w:val="20"/>
              </w:rPr>
            </w:pPr>
            <w:r w:rsidRPr="001A1FCC">
              <w:rPr>
                <w:sz w:val="20"/>
                <w:szCs w:val="20"/>
              </w:rPr>
              <w:t>Leverancier voor alle energie-specifieke onderwerpen.</w:t>
            </w:r>
          </w:p>
        </w:tc>
      </w:tr>
    </w:tbl>
    <w:p w14:paraId="06129C8C" w14:textId="77777777" w:rsidR="00967C55" w:rsidRPr="001A1FCC" w:rsidRDefault="00967C55">
      <w:pPr>
        <w:spacing w:after="0" w:line="259" w:lineRule="auto"/>
        <w:ind w:left="-1417" w:right="10120"/>
        <w:rPr>
          <w:sz w:val="20"/>
          <w:szCs w:val="20"/>
        </w:rPr>
      </w:pPr>
    </w:p>
    <w:tbl>
      <w:tblPr>
        <w:tblStyle w:val="TableGrid"/>
        <w:tblW w:w="4810" w:type="pct"/>
        <w:tblInd w:w="0" w:type="dxa"/>
        <w:tblCellMar>
          <w:top w:w="5" w:type="dxa"/>
          <w:left w:w="108" w:type="dxa"/>
          <w:right w:w="72" w:type="dxa"/>
        </w:tblCellMar>
        <w:tblLook w:val="04A0" w:firstRow="1" w:lastRow="0" w:firstColumn="1" w:lastColumn="0" w:noHBand="0" w:noVBand="1"/>
      </w:tblPr>
      <w:tblGrid>
        <w:gridCol w:w="351"/>
        <w:gridCol w:w="2372"/>
        <w:gridCol w:w="4076"/>
        <w:gridCol w:w="3260"/>
        <w:gridCol w:w="3403"/>
      </w:tblGrid>
      <w:tr w:rsidR="00CF661A" w:rsidRPr="001A1FCC" w14:paraId="791B8072" w14:textId="536DC075" w:rsidTr="002336BA">
        <w:trPr>
          <w:trHeight w:val="2532"/>
        </w:trPr>
        <w:tc>
          <w:tcPr>
            <w:tcW w:w="130" w:type="pct"/>
            <w:tcBorders>
              <w:top w:val="single" w:sz="4" w:space="0" w:color="000000"/>
              <w:left w:val="single" w:sz="4" w:space="0" w:color="000000"/>
              <w:bottom w:val="single" w:sz="4" w:space="0" w:color="000000"/>
              <w:right w:val="single" w:sz="4" w:space="0" w:color="000000"/>
            </w:tcBorders>
          </w:tcPr>
          <w:p w14:paraId="5BA9BDD2" w14:textId="77777777" w:rsidR="00CF661A" w:rsidRPr="001A1FCC" w:rsidRDefault="00CF661A">
            <w:pPr>
              <w:spacing w:line="259" w:lineRule="auto"/>
              <w:rPr>
                <w:sz w:val="20"/>
                <w:szCs w:val="20"/>
              </w:rPr>
            </w:pPr>
            <w:r w:rsidRPr="001A1FCC">
              <w:rPr>
                <w:sz w:val="20"/>
                <w:szCs w:val="20"/>
              </w:rPr>
              <w:lastRenderedPageBreak/>
              <w:t>2</w:t>
            </w:r>
            <w:r w:rsidRPr="001A1FCC">
              <w:rPr>
                <w:rFonts w:eastAsia="Calibri" w:cs="Calibri"/>
                <w:sz w:val="20"/>
                <w:szCs w:val="20"/>
              </w:rPr>
              <w:t xml:space="preserve"> </w:t>
            </w:r>
          </w:p>
        </w:tc>
        <w:tc>
          <w:tcPr>
            <w:tcW w:w="881" w:type="pct"/>
            <w:tcBorders>
              <w:top w:val="single" w:sz="4" w:space="0" w:color="000000"/>
              <w:left w:val="single" w:sz="4" w:space="0" w:color="000000"/>
              <w:bottom w:val="single" w:sz="4" w:space="0" w:color="000000"/>
              <w:right w:val="single" w:sz="4" w:space="0" w:color="000000"/>
            </w:tcBorders>
          </w:tcPr>
          <w:p w14:paraId="19E40B9D" w14:textId="77777777" w:rsidR="00CF661A" w:rsidRPr="001A1FCC" w:rsidRDefault="00CF661A">
            <w:pPr>
              <w:spacing w:line="259" w:lineRule="auto"/>
              <w:rPr>
                <w:sz w:val="20"/>
                <w:szCs w:val="20"/>
              </w:rPr>
            </w:pPr>
            <w:r w:rsidRPr="001A1FCC">
              <w:rPr>
                <w:sz w:val="20"/>
                <w:szCs w:val="20"/>
              </w:rPr>
              <w:t xml:space="preserve">Art. 4.3 – </w:t>
            </w:r>
          </w:p>
          <w:p w14:paraId="5C9E5635" w14:textId="77777777" w:rsidR="00CF661A" w:rsidRPr="001A1FCC" w:rsidRDefault="00CF661A">
            <w:pPr>
              <w:spacing w:line="259" w:lineRule="auto"/>
              <w:rPr>
                <w:sz w:val="20"/>
                <w:szCs w:val="20"/>
              </w:rPr>
            </w:pPr>
            <w:r w:rsidRPr="001A1FCC">
              <w:rPr>
                <w:sz w:val="20"/>
                <w:szCs w:val="20"/>
              </w:rPr>
              <w:t>voorafgaande toestemming AD voor inschakeling derden / overdracht</w:t>
            </w:r>
            <w:r w:rsidRPr="001A1FCC">
              <w:rPr>
                <w:rFonts w:eastAsia="Calibri" w:cs="Calibri"/>
                <w:sz w:val="20"/>
                <w:szCs w:val="20"/>
              </w:rPr>
              <w:t xml:space="preserve"> </w:t>
            </w:r>
          </w:p>
        </w:tc>
        <w:tc>
          <w:tcPr>
            <w:tcW w:w="1514" w:type="pct"/>
            <w:tcBorders>
              <w:top w:val="single" w:sz="4" w:space="0" w:color="000000"/>
              <w:left w:val="single" w:sz="4" w:space="0" w:color="000000"/>
              <w:bottom w:val="single" w:sz="4" w:space="0" w:color="000000"/>
              <w:right w:val="single" w:sz="4" w:space="0" w:color="000000"/>
            </w:tcBorders>
          </w:tcPr>
          <w:p w14:paraId="415E16BB" w14:textId="77777777" w:rsidR="00CF661A" w:rsidRPr="001A1FCC" w:rsidRDefault="00CF661A">
            <w:pPr>
              <w:ind w:right="26"/>
              <w:rPr>
                <w:sz w:val="20"/>
                <w:szCs w:val="20"/>
              </w:rPr>
            </w:pPr>
            <w:r w:rsidRPr="001A1FCC">
              <w:rPr>
                <w:sz w:val="20"/>
                <w:szCs w:val="20"/>
              </w:rPr>
              <w:t xml:space="preserve">AD eist voorafgaande schriftelijke goedkeuring voor uitvoering door derden of overdracht van rechten/plichten, en kan die goedkeuring intrekken. Dit is te beperkt voor Leverancier, omdat uitvoering van energielevering mede afhankelijk is van groepsmaatschappijen, </w:t>
            </w:r>
            <w:proofErr w:type="spellStart"/>
            <w:r w:rsidRPr="001A1FCC">
              <w:rPr>
                <w:sz w:val="20"/>
                <w:szCs w:val="20"/>
              </w:rPr>
              <w:t>balanceringsverantwoordelijken</w:t>
            </w:r>
            <w:proofErr w:type="spellEnd"/>
            <w:r w:rsidRPr="001A1FCC">
              <w:rPr>
                <w:sz w:val="20"/>
                <w:szCs w:val="20"/>
              </w:rPr>
              <w:t xml:space="preserve">, </w:t>
            </w:r>
          </w:p>
          <w:p w14:paraId="519AD7DA" w14:textId="77777777" w:rsidR="00CF661A" w:rsidRPr="001A1FCC" w:rsidRDefault="00CF661A">
            <w:pPr>
              <w:spacing w:line="259" w:lineRule="auto"/>
              <w:rPr>
                <w:sz w:val="20"/>
                <w:szCs w:val="20"/>
              </w:rPr>
            </w:pPr>
            <w:r w:rsidRPr="001A1FCC">
              <w:rPr>
                <w:sz w:val="20"/>
                <w:szCs w:val="20"/>
              </w:rPr>
              <w:t>systeembeheerders, meetverantwoordelijken en andere ketenpartijen.</w:t>
            </w:r>
            <w:r w:rsidRPr="001A1FCC">
              <w:rPr>
                <w:rFonts w:eastAsia="Calibri" w:cs="Calibri"/>
                <w:sz w:val="20"/>
                <w:szCs w:val="20"/>
              </w:rPr>
              <w:t xml:space="preserve"> </w:t>
            </w:r>
          </w:p>
        </w:tc>
        <w:tc>
          <w:tcPr>
            <w:tcW w:w="1211" w:type="pct"/>
            <w:tcBorders>
              <w:top w:val="single" w:sz="4" w:space="0" w:color="000000"/>
              <w:left w:val="single" w:sz="4" w:space="0" w:color="000000"/>
              <w:bottom w:val="single" w:sz="4" w:space="0" w:color="000000"/>
              <w:right w:val="single" w:sz="4" w:space="0" w:color="000000"/>
            </w:tcBorders>
          </w:tcPr>
          <w:p w14:paraId="3C57B0D2" w14:textId="77777777" w:rsidR="00CF661A" w:rsidRPr="001A1FCC" w:rsidRDefault="00CF661A">
            <w:pPr>
              <w:rPr>
                <w:sz w:val="20"/>
                <w:szCs w:val="20"/>
              </w:rPr>
            </w:pPr>
            <w:r w:rsidRPr="001A1FCC">
              <w:rPr>
                <w:rFonts w:eastAsia="Calibri" w:cs="Calibri"/>
                <w:sz w:val="20"/>
                <w:szCs w:val="20"/>
              </w:rPr>
              <w:t xml:space="preserve"> </w:t>
            </w:r>
            <w:r w:rsidRPr="001A1FCC">
              <w:rPr>
                <w:sz w:val="20"/>
                <w:szCs w:val="20"/>
              </w:rPr>
              <w:t xml:space="preserve">Leverancier mag groepsmaatschappijen, </w:t>
            </w:r>
            <w:proofErr w:type="spellStart"/>
            <w:r w:rsidRPr="001A1FCC">
              <w:rPr>
                <w:sz w:val="20"/>
                <w:szCs w:val="20"/>
              </w:rPr>
              <w:t>balanceringsverantwoor</w:t>
            </w:r>
            <w:proofErr w:type="spellEnd"/>
            <w:r w:rsidRPr="001A1FCC">
              <w:rPr>
                <w:sz w:val="20"/>
                <w:szCs w:val="20"/>
              </w:rPr>
              <w:t xml:space="preserve"> </w:t>
            </w:r>
            <w:proofErr w:type="spellStart"/>
            <w:r w:rsidRPr="001A1FCC">
              <w:rPr>
                <w:sz w:val="20"/>
                <w:szCs w:val="20"/>
              </w:rPr>
              <w:t>delijken</w:t>
            </w:r>
            <w:proofErr w:type="spellEnd"/>
            <w:r w:rsidRPr="001A1FCC">
              <w:rPr>
                <w:sz w:val="20"/>
                <w:szCs w:val="20"/>
              </w:rPr>
              <w:t xml:space="preserve">, </w:t>
            </w:r>
          </w:p>
          <w:p w14:paraId="0B272DFA" w14:textId="77777777" w:rsidR="00CF661A" w:rsidRPr="001A1FCC" w:rsidRDefault="00CF661A">
            <w:pPr>
              <w:spacing w:line="259" w:lineRule="auto"/>
              <w:rPr>
                <w:sz w:val="20"/>
                <w:szCs w:val="20"/>
              </w:rPr>
            </w:pPr>
            <w:r w:rsidRPr="001A1FCC">
              <w:rPr>
                <w:sz w:val="20"/>
                <w:szCs w:val="20"/>
              </w:rPr>
              <w:t>systeembeheerders, meetverantwoordelijken en andere ketenpartijen inschakelen en rechten/plichten overdragen conform de voorwaarden van Leverancier.</w:t>
            </w:r>
            <w:r w:rsidRPr="001A1FCC">
              <w:rPr>
                <w:rFonts w:eastAsia="Calibri" w:cs="Calibri"/>
                <w:sz w:val="20"/>
                <w:szCs w:val="20"/>
              </w:rPr>
              <w:t xml:space="preserve"> </w:t>
            </w:r>
          </w:p>
        </w:tc>
        <w:tc>
          <w:tcPr>
            <w:tcW w:w="1264" w:type="pct"/>
            <w:tcBorders>
              <w:top w:val="single" w:sz="4" w:space="0" w:color="000000"/>
              <w:left w:val="single" w:sz="4" w:space="0" w:color="000000"/>
              <w:bottom w:val="single" w:sz="4" w:space="0" w:color="000000"/>
              <w:right w:val="single" w:sz="4" w:space="0" w:color="000000"/>
            </w:tcBorders>
          </w:tcPr>
          <w:p w14:paraId="347D3573" w14:textId="1CDFD82D" w:rsidR="00CF661A" w:rsidRPr="001A1FCC" w:rsidRDefault="00D535C3">
            <w:pPr>
              <w:rPr>
                <w:rFonts w:eastAsia="Calibri" w:cs="Calibri"/>
                <w:sz w:val="20"/>
                <w:szCs w:val="20"/>
              </w:rPr>
            </w:pPr>
            <w:r w:rsidRPr="001A1FCC">
              <w:rPr>
                <w:rFonts w:eastAsia="Calibri" w:cs="Calibri"/>
                <w:sz w:val="20"/>
                <w:szCs w:val="20"/>
              </w:rPr>
              <w:t>Niet akkoord met de toevoeging</w:t>
            </w:r>
            <w:r w:rsidR="00D44184" w:rsidRPr="001A1FCC">
              <w:rPr>
                <w:rFonts w:eastAsia="Calibri" w:cs="Calibri"/>
                <w:sz w:val="20"/>
                <w:szCs w:val="20"/>
              </w:rPr>
              <w:t xml:space="preserve">. </w:t>
            </w:r>
            <w:r w:rsidR="0071205C" w:rsidRPr="001A1FCC">
              <w:rPr>
                <w:rFonts w:eastAsia="Calibri" w:cs="Calibri"/>
                <w:sz w:val="20"/>
                <w:szCs w:val="20"/>
              </w:rPr>
              <w:t>Aanbes</w:t>
            </w:r>
            <w:r w:rsidR="00E3229B" w:rsidRPr="001A1FCC">
              <w:rPr>
                <w:rFonts w:eastAsia="Calibri" w:cs="Calibri"/>
                <w:sz w:val="20"/>
                <w:szCs w:val="20"/>
              </w:rPr>
              <w:t xml:space="preserve">tedende dienst bedoeld </w:t>
            </w:r>
            <w:r w:rsidR="00FC2D85" w:rsidRPr="001A1FCC">
              <w:rPr>
                <w:rFonts w:eastAsia="Calibri" w:cs="Calibri"/>
                <w:sz w:val="20"/>
                <w:szCs w:val="20"/>
              </w:rPr>
              <w:t xml:space="preserve">hier precies mee dat voorafgaand schriftelijke goedkeuring </w:t>
            </w:r>
            <w:r w:rsidR="00B52EF0" w:rsidRPr="001A1FCC">
              <w:rPr>
                <w:rFonts w:eastAsia="Calibri" w:cs="Calibri"/>
                <w:sz w:val="20"/>
                <w:szCs w:val="20"/>
              </w:rPr>
              <w:t xml:space="preserve">voor uitvoering door derden of overdracht </w:t>
            </w:r>
            <w:r w:rsidR="006926B5" w:rsidRPr="001A1FCC">
              <w:rPr>
                <w:rFonts w:eastAsia="Calibri" w:cs="Calibri"/>
                <w:sz w:val="20"/>
                <w:szCs w:val="20"/>
              </w:rPr>
              <w:t xml:space="preserve">van rechten en plichten voor </w:t>
            </w:r>
            <w:r w:rsidR="000513E2" w:rsidRPr="001A1FCC">
              <w:rPr>
                <w:rFonts w:eastAsia="Calibri" w:cs="Calibri"/>
                <w:sz w:val="20"/>
                <w:szCs w:val="20"/>
              </w:rPr>
              <w:t xml:space="preserve">derden die de levering van energie direct kunnen beïnvloeden waardoor de </w:t>
            </w:r>
            <w:r w:rsidR="00F141C2" w:rsidRPr="001A1FCC">
              <w:rPr>
                <w:rFonts w:eastAsia="Calibri" w:cs="Calibri"/>
                <w:sz w:val="20"/>
                <w:szCs w:val="20"/>
              </w:rPr>
              <w:t xml:space="preserve">continu levering </w:t>
            </w:r>
            <w:r w:rsidR="00A54312" w:rsidRPr="001A1FCC">
              <w:rPr>
                <w:rFonts w:eastAsia="Calibri" w:cs="Calibri"/>
                <w:sz w:val="20"/>
                <w:szCs w:val="20"/>
              </w:rPr>
              <w:t>problemen kan opleveren.</w:t>
            </w:r>
            <w:r w:rsidR="001429D0" w:rsidRPr="001A1FCC">
              <w:rPr>
                <w:rFonts w:eastAsia="Calibri" w:cs="Calibri"/>
                <w:color w:val="EE0000"/>
                <w:sz w:val="20"/>
                <w:szCs w:val="20"/>
              </w:rPr>
              <w:t xml:space="preserve"> </w:t>
            </w:r>
          </w:p>
        </w:tc>
      </w:tr>
      <w:tr w:rsidR="00CF661A" w:rsidRPr="001A1FCC" w14:paraId="7ABA63FE" w14:textId="56FF8B06" w:rsidTr="002336BA">
        <w:trPr>
          <w:trHeight w:val="4113"/>
        </w:trPr>
        <w:tc>
          <w:tcPr>
            <w:tcW w:w="130" w:type="pct"/>
            <w:tcBorders>
              <w:top w:val="single" w:sz="4" w:space="0" w:color="000000"/>
              <w:left w:val="single" w:sz="4" w:space="0" w:color="000000"/>
              <w:bottom w:val="single" w:sz="4" w:space="0" w:color="000000"/>
              <w:right w:val="single" w:sz="4" w:space="0" w:color="000000"/>
            </w:tcBorders>
          </w:tcPr>
          <w:p w14:paraId="2F1B9132" w14:textId="77777777" w:rsidR="00CF661A" w:rsidRPr="001A1FCC" w:rsidRDefault="00CF661A">
            <w:pPr>
              <w:spacing w:line="259" w:lineRule="auto"/>
              <w:rPr>
                <w:sz w:val="20"/>
                <w:szCs w:val="20"/>
              </w:rPr>
            </w:pPr>
            <w:r w:rsidRPr="001A1FCC">
              <w:rPr>
                <w:sz w:val="20"/>
                <w:szCs w:val="20"/>
              </w:rPr>
              <w:t>3</w:t>
            </w:r>
            <w:r w:rsidRPr="001A1FCC">
              <w:rPr>
                <w:rFonts w:eastAsia="Calibri" w:cs="Calibri"/>
                <w:sz w:val="20"/>
                <w:szCs w:val="20"/>
              </w:rPr>
              <w:t xml:space="preserve"> </w:t>
            </w:r>
          </w:p>
        </w:tc>
        <w:tc>
          <w:tcPr>
            <w:tcW w:w="881" w:type="pct"/>
            <w:tcBorders>
              <w:top w:val="single" w:sz="4" w:space="0" w:color="000000"/>
              <w:left w:val="single" w:sz="4" w:space="0" w:color="000000"/>
              <w:bottom w:val="single" w:sz="4" w:space="0" w:color="000000"/>
              <w:right w:val="single" w:sz="4" w:space="0" w:color="000000"/>
            </w:tcBorders>
          </w:tcPr>
          <w:p w14:paraId="4F9E07B3" w14:textId="77777777" w:rsidR="00CF661A" w:rsidRPr="001A1FCC" w:rsidRDefault="00CF661A">
            <w:pPr>
              <w:spacing w:line="259" w:lineRule="auto"/>
              <w:rPr>
                <w:sz w:val="20"/>
                <w:szCs w:val="20"/>
              </w:rPr>
            </w:pPr>
            <w:r w:rsidRPr="001A1FCC">
              <w:rPr>
                <w:sz w:val="20"/>
                <w:szCs w:val="20"/>
              </w:rPr>
              <w:t>Art. 4.5 – vrijwaring voor boetes en sancties</w:t>
            </w:r>
            <w:r w:rsidRPr="001A1FCC">
              <w:rPr>
                <w:rFonts w:eastAsia="Calibri" w:cs="Calibri"/>
                <w:sz w:val="20"/>
                <w:szCs w:val="20"/>
              </w:rPr>
              <w:t xml:space="preserve"> </w:t>
            </w:r>
          </w:p>
        </w:tc>
        <w:tc>
          <w:tcPr>
            <w:tcW w:w="1514" w:type="pct"/>
            <w:tcBorders>
              <w:top w:val="single" w:sz="4" w:space="0" w:color="000000"/>
              <w:left w:val="single" w:sz="4" w:space="0" w:color="000000"/>
              <w:bottom w:val="single" w:sz="4" w:space="0" w:color="000000"/>
              <w:right w:val="single" w:sz="4" w:space="0" w:color="000000"/>
            </w:tcBorders>
          </w:tcPr>
          <w:p w14:paraId="7C9A4460" w14:textId="77777777" w:rsidR="00CF661A" w:rsidRPr="001A1FCC" w:rsidRDefault="00CF661A">
            <w:pPr>
              <w:spacing w:line="259" w:lineRule="auto"/>
              <w:rPr>
                <w:sz w:val="20"/>
                <w:szCs w:val="20"/>
              </w:rPr>
            </w:pPr>
            <w:r w:rsidRPr="001A1FCC">
              <w:rPr>
                <w:sz w:val="20"/>
                <w:szCs w:val="20"/>
              </w:rPr>
              <w:t>AD legt een brede vrijwaring op voor strafrechtelijke boetes en bestuurlijke sancties die verband houden met de overeenkomst en die Leverancier of AD krijgt opgelegd. Dit is ruimer dan het aansprakelijkheidsregime in de voorwaarden van Leverancier.</w:t>
            </w:r>
            <w:r w:rsidRPr="001A1FCC">
              <w:rPr>
                <w:rFonts w:eastAsia="Calibri" w:cs="Calibri"/>
                <w:sz w:val="20"/>
                <w:szCs w:val="20"/>
              </w:rPr>
              <w:t xml:space="preserve"> </w:t>
            </w:r>
          </w:p>
        </w:tc>
        <w:tc>
          <w:tcPr>
            <w:tcW w:w="1211" w:type="pct"/>
            <w:tcBorders>
              <w:top w:val="single" w:sz="4" w:space="0" w:color="000000"/>
              <w:left w:val="single" w:sz="4" w:space="0" w:color="000000"/>
              <w:bottom w:val="single" w:sz="4" w:space="0" w:color="000000"/>
              <w:right w:val="single" w:sz="4" w:space="0" w:color="000000"/>
            </w:tcBorders>
          </w:tcPr>
          <w:p w14:paraId="453E1BB9" w14:textId="5AC273E9" w:rsidR="00CF661A" w:rsidRPr="001A1FCC" w:rsidRDefault="00CF661A">
            <w:pPr>
              <w:spacing w:line="259" w:lineRule="auto"/>
              <w:rPr>
                <w:sz w:val="20"/>
                <w:szCs w:val="20"/>
              </w:rPr>
            </w:pPr>
            <w:r w:rsidRPr="001A1FCC">
              <w:rPr>
                <w:sz w:val="20"/>
                <w:szCs w:val="20"/>
              </w:rPr>
              <w:t>De vrijwaring wordt beperkt tot boetes/sancties die rechtstreeks en uitsluitend zijn veroorzaakt door toerekenbaar handelen of nalaten van Leverancier, met toepassing van de aansprakelijkheidsbeperkingen uit de voorwaarden van Leverancier.</w:t>
            </w:r>
            <w:r w:rsidRPr="001A1FCC">
              <w:rPr>
                <w:rFonts w:eastAsia="Calibri" w:cs="Calibri"/>
                <w:sz w:val="20"/>
                <w:szCs w:val="20"/>
              </w:rPr>
              <w:t xml:space="preserve"> </w:t>
            </w:r>
          </w:p>
        </w:tc>
        <w:tc>
          <w:tcPr>
            <w:tcW w:w="1264" w:type="pct"/>
            <w:tcBorders>
              <w:top w:val="single" w:sz="4" w:space="0" w:color="000000"/>
              <w:left w:val="single" w:sz="4" w:space="0" w:color="000000"/>
              <w:bottom w:val="single" w:sz="4" w:space="0" w:color="000000"/>
              <w:right w:val="single" w:sz="4" w:space="0" w:color="000000"/>
            </w:tcBorders>
          </w:tcPr>
          <w:p w14:paraId="248547A3" w14:textId="2F82F913" w:rsidR="00CF661A" w:rsidRPr="001A1FCC" w:rsidRDefault="00A23F31">
            <w:pPr>
              <w:spacing w:line="259" w:lineRule="auto"/>
              <w:rPr>
                <w:b/>
                <w:bCs/>
                <w:sz w:val="20"/>
                <w:szCs w:val="20"/>
              </w:rPr>
            </w:pPr>
            <w:r w:rsidRPr="001A1FCC">
              <w:rPr>
                <w:sz w:val="20"/>
                <w:szCs w:val="20"/>
              </w:rPr>
              <w:t xml:space="preserve">Wij begrijpen </w:t>
            </w:r>
            <w:r w:rsidR="00DB5630" w:rsidRPr="001A1FCC">
              <w:rPr>
                <w:sz w:val="20"/>
                <w:szCs w:val="20"/>
              </w:rPr>
              <w:t>uw voorstel</w:t>
            </w:r>
            <w:r w:rsidR="00EB2065" w:rsidRPr="001A1FCC">
              <w:rPr>
                <w:sz w:val="20"/>
                <w:szCs w:val="20"/>
              </w:rPr>
              <w:t xml:space="preserve">, maar gaan niet akkoord met dit voorstel. Opdrachtgever </w:t>
            </w:r>
            <w:r w:rsidRPr="001A1FCC">
              <w:rPr>
                <w:sz w:val="20"/>
                <w:szCs w:val="20"/>
              </w:rPr>
              <w:t>houd</w:t>
            </w:r>
            <w:r w:rsidR="00EB2065" w:rsidRPr="001A1FCC">
              <w:rPr>
                <w:sz w:val="20"/>
                <w:szCs w:val="20"/>
              </w:rPr>
              <w:t>t</w:t>
            </w:r>
            <w:r w:rsidRPr="001A1FCC">
              <w:rPr>
                <w:sz w:val="20"/>
                <w:szCs w:val="20"/>
              </w:rPr>
              <w:t xml:space="preserve"> vast aan de vrijwaringsbepaling zoals opgenomen in onze voorwaarden, omdat deze een adequate bescherming biedt voor alle boetes en sancties die verband houden met de overeenkomst</w:t>
            </w:r>
            <w:r w:rsidRPr="001A1FCC">
              <w:rPr>
                <w:b/>
                <w:bCs/>
                <w:sz w:val="20"/>
                <w:szCs w:val="20"/>
              </w:rPr>
              <w:t xml:space="preserve">. </w:t>
            </w:r>
            <w:r w:rsidR="00BB340B" w:rsidRPr="001A1FCC">
              <w:rPr>
                <w:sz w:val="20"/>
                <w:szCs w:val="20"/>
              </w:rPr>
              <w:t xml:space="preserve">De inkoopvoorwaarden van AD zijn leidend. </w:t>
            </w:r>
          </w:p>
        </w:tc>
      </w:tr>
      <w:tr w:rsidR="00CF661A" w:rsidRPr="001A1FCC" w14:paraId="667455AE" w14:textId="4E6A6604" w:rsidTr="002336BA">
        <w:trPr>
          <w:trHeight w:val="3526"/>
        </w:trPr>
        <w:tc>
          <w:tcPr>
            <w:tcW w:w="130" w:type="pct"/>
            <w:tcBorders>
              <w:top w:val="single" w:sz="4" w:space="0" w:color="000000"/>
              <w:left w:val="single" w:sz="4" w:space="0" w:color="000000"/>
              <w:bottom w:val="single" w:sz="4" w:space="0" w:color="000000"/>
              <w:right w:val="single" w:sz="4" w:space="0" w:color="000000"/>
            </w:tcBorders>
          </w:tcPr>
          <w:p w14:paraId="5B9AF4AB" w14:textId="77777777" w:rsidR="00CF661A" w:rsidRPr="001A1FCC" w:rsidRDefault="00CF661A">
            <w:pPr>
              <w:spacing w:line="259" w:lineRule="auto"/>
              <w:rPr>
                <w:sz w:val="20"/>
                <w:szCs w:val="20"/>
              </w:rPr>
            </w:pPr>
            <w:r w:rsidRPr="001A1FCC">
              <w:rPr>
                <w:sz w:val="20"/>
                <w:szCs w:val="20"/>
              </w:rPr>
              <w:lastRenderedPageBreak/>
              <w:t>4</w:t>
            </w:r>
            <w:r w:rsidRPr="001A1FCC">
              <w:rPr>
                <w:rFonts w:eastAsia="Calibri" w:cs="Calibri"/>
                <w:sz w:val="20"/>
                <w:szCs w:val="20"/>
              </w:rPr>
              <w:t xml:space="preserve"> </w:t>
            </w:r>
          </w:p>
        </w:tc>
        <w:tc>
          <w:tcPr>
            <w:tcW w:w="881" w:type="pct"/>
            <w:tcBorders>
              <w:top w:val="single" w:sz="4" w:space="0" w:color="000000"/>
              <w:left w:val="single" w:sz="4" w:space="0" w:color="000000"/>
              <w:bottom w:val="single" w:sz="4" w:space="0" w:color="000000"/>
              <w:right w:val="single" w:sz="4" w:space="0" w:color="000000"/>
            </w:tcBorders>
          </w:tcPr>
          <w:p w14:paraId="62A92573" w14:textId="77777777" w:rsidR="00CF661A" w:rsidRPr="001A1FCC" w:rsidRDefault="00CF661A">
            <w:pPr>
              <w:spacing w:line="259" w:lineRule="auto"/>
              <w:rPr>
                <w:sz w:val="20"/>
                <w:szCs w:val="20"/>
              </w:rPr>
            </w:pPr>
            <w:r w:rsidRPr="001A1FCC">
              <w:rPr>
                <w:sz w:val="20"/>
                <w:szCs w:val="20"/>
              </w:rPr>
              <w:t>Art. 6.1 en 6.4 – kwaliteitsnormen , controle/audit en kosten</w:t>
            </w:r>
            <w:r w:rsidRPr="001A1FCC">
              <w:rPr>
                <w:rFonts w:eastAsia="Calibri" w:cs="Calibri"/>
                <w:sz w:val="20"/>
                <w:szCs w:val="20"/>
              </w:rPr>
              <w:t xml:space="preserve"> </w:t>
            </w:r>
          </w:p>
        </w:tc>
        <w:tc>
          <w:tcPr>
            <w:tcW w:w="1514" w:type="pct"/>
            <w:tcBorders>
              <w:top w:val="single" w:sz="4" w:space="0" w:color="000000"/>
              <w:left w:val="single" w:sz="4" w:space="0" w:color="000000"/>
              <w:bottom w:val="single" w:sz="4" w:space="0" w:color="000000"/>
              <w:right w:val="single" w:sz="4" w:space="0" w:color="000000"/>
            </w:tcBorders>
          </w:tcPr>
          <w:p w14:paraId="0E0EAB1C" w14:textId="77777777" w:rsidR="00CF661A" w:rsidRPr="001A1FCC" w:rsidRDefault="00CF661A">
            <w:pPr>
              <w:spacing w:line="259" w:lineRule="auto"/>
              <w:rPr>
                <w:sz w:val="20"/>
                <w:szCs w:val="20"/>
              </w:rPr>
            </w:pPr>
            <w:r w:rsidRPr="001A1FCC">
              <w:rPr>
                <w:sz w:val="20"/>
                <w:szCs w:val="20"/>
              </w:rPr>
              <w:t>AD verlangt dat prestaties voldoen aan door AD gestelde kwaliteitsnormen en brede voorschriften, inclusief data- en informatiebeveiliging, en AD mag controles laten uitvoeren waarbij Leverancier medewerking moet verlenen. Voor standaard energielevering zijn de relevante normen vooral toepasselijke wet- en regelgeving, marktafspraken en systeembeheerprocessen.</w:t>
            </w:r>
            <w:r w:rsidRPr="001A1FCC">
              <w:rPr>
                <w:rFonts w:eastAsia="Calibri" w:cs="Calibri"/>
                <w:sz w:val="20"/>
                <w:szCs w:val="20"/>
              </w:rPr>
              <w:t xml:space="preserve"> </w:t>
            </w:r>
          </w:p>
        </w:tc>
        <w:tc>
          <w:tcPr>
            <w:tcW w:w="1211" w:type="pct"/>
            <w:tcBorders>
              <w:top w:val="single" w:sz="4" w:space="0" w:color="000000"/>
              <w:left w:val="single" w:sz="4" w:space="0" w:color="000000"/>
              <w:bottom w:val="single" w:sz="4" w:space="0" w:color="000000"/>
              <w:right w:val="single" w:sz="4" w:space="0" w:color="000000"/>
            </w:tcBorders>
          </w:tcPr>
          <w:p w14:paraId="63C70E16" w14:textId="77777777" w:rsidR="00CF661A" w:rsidRPr="001A1FCC" w:rsidRDefault="00CF661A">
            <w:pPr>
              <w:spacing w:line="259" w:lineRule="auto"/>
              <w:rPr>
                <w:sz w:val="20"/>
                <w:szCs w:val="20"/>
              </w:rPr>
            </w:pPr>
            <w:r w:rsidRPr="001A1FCC">
              <w:rPr>
                <w:rFonts w:eastAsia="Calibri" w:cs="Calibri"/>
                <w:sz w:val="20"/>
                <w:szCs w:val="20"/>
              </w:rPr>
              <w:t xml:space="preserve"> </w:t>
            </w:r>
            <w:r w:rsidRPr="001A1FCC">
              <w:rPr>
                <w:sz w:val="20"/>
                <w:szCs w:val="20"/>
              </w:rPr>
              <w:t>Controle is alleen toegestaan voor zover redelijk, vooraf aangekondigd, vertrouwelijk, tijdens kantooruren en zonder verstoring van operationele processen van Leverancier.</w:t>
            </w:r>
            <w:r w:rsidRPr="001A1FCC">
              <w:rPr>
                <w:rFonts w:eastAsia="Calibri" w:cs="Calibri"/>
                <w:sz w:val="20"/>
                <w:szCs w:val="20"/>
              </w:rPr>
              <w:t xml:space="preserve"> </w:t>
            </w:r>
          </w:p>
        </w:tc>
        <w:tc>
          <w:tcPr>
            <w:tcW w:w="1264" w:type="pct"/>
            <w:tcBorders>
              <w:top w:val="single" w:sz="4" w:space="0" w:color="000000"/>
              <w:left w:val="single" w:sz="4" w:space="0" w:color="000000"/>
              <w:bottom w:val="single" w:sz="4" w:space="0" w:color="000000"/>
              <w:right w:val="single" w:sz="4" w:space="0" w:color="000000"/>
            </w:tcBorders>
          </w:tcPr>
          <w:p w14:paraId="62D88436" w14:textId="24D82803" w:rsidR="00CF661A" w:rsidRPr="001A1FCC" w:rsidRDefault="00EB2065">
            <w:pPr>
              <w:spacing w:line="259" w:lineRule="auto"/>
              <w:rPr>
                <w:rFonts w:eastAsia="Calibri" w:cs="Calibri"/>
                <w:sz w:val="20"/>
                <w:szCs w:val="20"/>
              </w:rPr>
            </w:pPr>
            <w:r w:rsidRPr="001A1FCC">
              <w:rPr>
                <w:rFonts w:eastAsia="Calibri" w:cs="Calibri"/>
                <w:sz w:val="20"/>
                <w:szCs w:val="20"/>
              </w:rPr>
              <w:t>Opdra</w:t>
            </w:r>
            <w:r w:rsidR="00D879B0" w:rsidRPr="001A1FCC">
              <w:rPr>
                <w:rFonts w:eastAsia="Calibri" w:cs="Calibri"/>
                <w:sz w:val="20"/>
                <w:szCs w:val="20"/>
              </w:rPr>
              <w:t xml:space="preserve">chtgever </w:t>
            </w:r>
            <w:r w:rsidR="00A53C51" w:rsidRPr="001A1FCC">
              <w:rPr>
                <w:rFonts w:eastAsia="Calibri" w:cs="Calibri"/>
                <w:sz w:val="20"/>
                <w:szCs w:val="20"/>
              </w:rPr>
              <w:t>gaat</w:t>
            </w:r>
            <w:r w:rsidR="00D879B0" w:rsidRPr="001A1FCC">
              <w:rPr>
                <w:rFonts w:eastAsia="Calibri" w:cs="Calibri"/>
                <w:sz w:val="20"/>
                <w:szCs w:val="20"/>
              </w:rPr>
              <w:t xml:space="preserve"> akkoord met dit voorstel.</w:t>
            </w:r>
          </w:p>
        </w:tc>
      </w:tr>
    </w:tbl>
    <w:p w14:paraId="1807DF70" w14:textId="77777777" w:rsidR="00967C55" w:rsidRPr="001A1FCC" w:rsidRDefault="00967C55">
      <w:pPr>
        <w:spacing w:after="0" w:line="259" w:lineRule="auto"/>
        <w:ind w:left="-1417" w:right="10120"/>
        <w:rPr>
          <w:sz w:val="20"/>
          <w:szCs w:val="20"/>
        </w:rPr>
      </w:pPr>
    </w:p>
    <w:tbl>
      <w:tblPr>
        <w:tblStyle w:val="TableGrid"/>
        <w:tblW w:w="5000" w:type="pct"/>
        <w:tblInd w:w="0" w:type="dxa"/>
        <w:tblCellMar>
          <w:top w:w="5" w:type="dxa"/>
          <w:left w:w="108" w:type="dxa"/>
          <w:right w:w="80" w:type="dxa"/>
        </w:tblCellMar>
        <w:tblLook w:val="04A0" w:firstRow="1" w:lastRow="0" w:firstColumn="1" w:lastColumn="0" w:noHBand="0" w:noVBand="1"/>
      </w:tblPr>
      <w:tblGrid>
        <w:gridCol w:w="382"/>
        <w:gridCol w:w="2598"/>
        <w:gridCol w:w="3678"/>
        <w:gridCol w:w="3258"/>
        <w:gridCol w:w="574"/>
        <w:gridCol w:w="3504"/>
      </w:tblGrid>
      <w:tr w:rsidR="00BB340B" w:rsidRPr="001A1FCC" w14:paraId="60A44B27" w14:textId="4A31CEE6" w:rsidTr="00952A49">
        <w:trPr>
          <w:trHeight w:val="2646"/>
        </w:trPr>
        <w:tc>
          <w:tcPr>
            <w:tcW w:w="136" w:type="pct"/>
            <w:tcBorders>
              <w:top w:val="single" w:sz="4" w:space="0" w:color="000000"/>
              <w:left w:val="single" w:sz="4" w:space="0" w:color="000000"/>
              <w:bottom w:val="single" w:sz="4" w:space="0" w:color="000000"/>
              <w:right w:val="single" w:sz="4" w:space="0" w:color="000000"/>
            </w:tcBorders>
          </w:tcPr>
          <w:p w14:paraId="01137C65" w14:textId="77777777" w:rsidR="00BB340B" w:rsidRPr="001A1FCC" w:rsidRDefault="00BB340B">
            <w:pPr>
              <w:spacing w:line="259" w:lineRule="auto"/>
              <w:rPr>
                <w:sz w:val="20"/>
                <w:szCs w:val="20"/>
              </w:rPr>
            </w:pPr>
            <w:r w:rsidRPr="001A1FCC">
              <w:rPr>
                <w:sz w:val="20"/>
                <w:szCs w:val="20"/>
              </w:rPr>
              <w:t>5</w:t>
            </w:r>
            <w:r w:rsidRPr="001A1FCC">
              <w:rPr>
                <w:rFonts w:eastAsia="Calibri" w:cs="Calibri"/>
                <w:sz w:val="20"/>
                <w:szCs w:val="20"/>
              </w:rPr>
              <w:t xml:space="preserve"> </w:t>
            </w:r>
          </w:p>
        </w:tc>
        <w:tc>
          <w:tcPr>
            <w:tcW w:w="928" w:type="pct"/>
            <w:tcBorders>
              <w:top w:val="single" w:sz="4" w:space="0" w:color="000000"/>
              <w:left w:val="single" w:sz="4" w:space="0" w:color="000000"/>
              <w:bottom w:val="single" w:sz="4" w:space="0" w:color="000000"/>
              <w:right w:val="single" w:sz="4" w:space="0" w:color="000000"/>
            </w:tcBorders>
          </w:tcPr>
          <w:p w14:paraId="6397E4B6" w14:textId="1383AECB" w:rsidR="00BB340B" w:rsidRPr="001A1FCC" w:rsidRDefault="00BB340B">
            <w:pPr>
              <w:rPr>
                <w:sz w:val="20"/>
                <w:szCs w:val="20"/>
              </w:rPr>
            </w:pPr>
            <w:r w:rsidRPr="001A1FCC">
              <w:rPr>
                <w:sz w:val="20"/>
                <w:szCs w:val="20"/>
              </w:rPr>
              <w:t xml:space="preserve">Art. 7.3 – onmiddellijke opschorting/ontbinding bij </w:t>
            </w:r>
          </w:p>
          <w:p w14:paraId="552E18E5" w14:textId="77777777" w:rsidR="00BB340B" w:rsidRPr="001A1FCC" w:rsidRDefault="00BB340B">
            <w:pPr>
              <w:spacing w:line="259" w:lineRule="auto"/>
              <w:rPr>
                <w:sz w:val="20"/>
                <w:szCs w:val="20"/>
              </w:rPr>
            </w:pPr>
            <w:proofErr w:type="spellStart"/>
            <w:r w:rsidRPr="001A1FCC">
              <w:rPr>
                <w:sz w:val="20"/>
                <w:szCs w:val="20"/>
              </w:rPr>
              <w:t>geheimhoudings</w:t>
            </w:r>
            <w:proofErr w:type="spellEnd"/>
            <w:r w:rsidRPr="001A1FCC">
              <w:rPr>
                <w:sz w:val="20"/>
                <w:szCs w:val="20"/>
              </w:rPr>
              <w:t xml:space="preserve"> schending</w:t>
            </w:r>
            <w:r w:rsidRPr="001A1FCC">
              <w:rPr>
                <w:rFonts w:eastAsia="Calibri" w:cs="Calibri"/>
                <w:sz w:val="20"/>
                <w:szCs w:val="20"/>
              </w:rPr>
              <w:t xml:space="preserve"> </w:t>
            </w:r>
          </w:p>
        </w:tc>
        <w:tc>
          <w:tcPr>
            <w:tcW w:w="1314" w:type="pct"/>
            <w:tcBorders>
              <w:top w:val="single" w:sz="4" w:space="0" w:color="000000"/>
              <w:left w:val="single" w:sz="4" w:space="0" w:color="000000"/>
              <w:bottom w:val="single" w:sz="4" w:space="0" w:color="000000"/>
              <w:right w:val="single" w:sz="4" w:space="0" w:color="000000"/>
            </w:tcBorders>
          </w:tcPr>
          <w:p w14:paraId="37A5249F" w14:textId="1036F60E" w:rsidR="00BB340B" w:rsidRPr="001A1FCC" w:rsidRDefault="00BB340B" w:rsidP="002B698B">
            <w:pPr>
              <w:spacing w:line="259" w:lineRule="auto"/>
              <w:rPr>
                <w:sz w:val="20"/>
                <w:szCs w:val="20"/>
              </w:rPr>
            </w:pPr>
            <w:r w:rsidRPr="001A1FCC">
              <w:rPr>
                <w:sz w:val="20"/>
                <w:szCs w:val="20"/>
              </w:rPr>
              <w:t>Bij schending van geheimhouding mag de andere partij direct opschorten of ontbinden zonder ingebrekestelling. Dit is strenger dan de voorwaarden van Leverancier en kan tot disproportionele beëindigingsrisico’s leiden.</w:t>
            </w:r>
            <w:r w:rsidRPr="001A1FCC">
              <w:rPr>
                <w:rFonts w:eastAsia="Calibri" w:cs="Calibri"/>
                <w:sz w:val="20"/>
                <w:szCs w:val="20"/>
              </w:rPr>
              <w:t xml:space="preserve"> </w:t>
            </w:r>
          </w:p>
        </w:tc>
        <w:tc>
          <w:tcPr>
            <w:tcW w:w="1369" w:type="pct"/>
            <w:gridSpan w:val="2"/>
            <w:tcBorders>
              <w:top w:val="single" w:sz="4" w:space="0" w:color="000000"/>
              <w:left w:val="single" w:sz="4" w:space="0" w:color="000000"/>
              <w:bottom w:val="single" w:sz="4" w:space="0" w:color="000000"/>
              <w:right w:val="single" w:sz="4" w:space="0" w:color="000000"/>
            </w:tcBorders>
          </w:tcPr>
          <w:p w14:paraId="557ABCA8" w14:textId="77777777" w:rsidR="00BB340B" w:rsidRPr="001A1FCC" w:rsidRDefault="00BB340B">
            <w:pPr>
              <w:spacing w:line="259" w:lineRule="auto"/>
              <w:rPr>
                <w:sz w:val="20"/>
                <w:szCs w:val="20"/>
              </w:rPr>
            </w:pPr>
            <w:r w:rsidRPr="001A1FCC">
              <w:rPr>
                <w:sz w:val="20"/>
                <w:szCs w:val="20"/>
              </w:rPr>
              <w:t>Beëindiging of opschorting is alleen mogelijk bij een materiële, toerekenbare schending na een redelijke hersteltermijn, tenzij herstel onmogelijk is.</w:t>
            </w:r>
            <w:r w:rsidRPr="001A1FCC">
              <w:rPr>
                <w:rFonts w:eastAsia="Calibri" w:cs="Calibri"/>
                <w:sz w:val="20"/>
                <w:szCs w:val="20"/>
              </w:rPr>
              <w:t xml:space="preserve"> </w:t>
            </w:r>
          </w:p>
        </w:tc>
        <w:tc>
          <w:tcPr>
            <w:tcW w:w="1252" w:type="pct"/>
            <w:tcBorders>
              <w:top w:val="single" w:sz="4" w:space="0" w:color="000000"/>
              <w:left w:val="single" w:sz="4" w:space="0" w:color="000000"/>
              <w:bottom w:val="single" w:sz="4" w:space="0" w:color="000000"/>
              <w:right w:val="single" w:sz="4" w:space="0" w:color="000000"/>
            </w:tcBorders>
          </w:tcPr>
          <w:p w14:paraId="73DB2B4A" w14:textId="4AAFEA7A" w:rsidR="00BB340B" w:rsidRPr="001A1FCC" w:rsidRDefault="002B698B">
            <w:pPr>
              <w:spacing w:line="259" w:lineRule="auto"/>
              <w:rPr>
                <w:sz w:val="20"/>
                <w:szCs w:val="20"/>
              </w:rPr>
            </w:pPr>
            <w:r w:rsidRPr="001A1FCC">
              <w:rPr>
                <w:sz w:val="20"/>
                <w:szCs w:val="20"/>
              </w:rPr>
              <w:t>Niet akkoord met u voorstel</w:t>
            </w:r>
            <w:r w:rsidR="00D535C3" w:rsidRPr="001A1FCC">
              <w:rPr>
                <w:sz w:val="20"/>
                <w:szCs w:val="20"/>
              </w:rPr>
              <w:t>.</w:t>
            </w:r>
            <w:r w:rsidR="000F11BF" w:rsidRPr="001A1FCC">
              <w:rPr>
                <w:sz w:val="20"/>
                <w:szCs w:val="20"/>
              </w:rPr>
              <w:t xml:space="preserve"> </w:t>
            </w:r>
            <w:r w:rsidR="00F21C56" w:rsidRPr="001A1FCC">
              <w:rPr>
                <w:sz w:val="20"/>
                <w:szCs w:val="20"/>
              </w:rPr>
              <w:t>Wij houden vast aan de bepaling dat bij schending van geheimhouding direct opgeschort of ontbonden kan worden zonder ingebrekestelling, omdat geheimhouding voor AD een essentieel en niet-herstelbaar belang vertegenwoordigt waarbij vertraging in de beëindiging tot (onherstelbare) schade kan leiden.</w:t>
            </w:r>
          </w:p>
        </w:tc>
      </w:tr>
      <w:tr w:rsidR="00BB340B" w:rsidRPr="001A1FCC" w14:paraId="702F379E" w14:textId="3000F2DC" w:rsidTr="00952A49">
        <w:trPr>
          <w:trHeight w:val="2940"/>
        </w:trPr>
        <w:tc>
          <w:tcPr>
            <w:tcW w:w="136" w:type="pct"/>
            <w:tcBorders>
              <w:top w:val="single" w:sz="4" w:space="0" w:color="000000"/>
              <w:left w:val="single" w:sz="4" w:space="0" w:color="000000"/>
              <w:bottom w:val="single" w:sz="4" w:space="0" w:color="000000"/>
              <w:right w:val="single" w:sz="4" w:space="0" w:color="000000"/>
            </w:tcBorders>
          </w:tcPr>
          <w:p w14:paraId="19E3F402" w14:textId="77777777" w:rsidR="00BB340B" w:rsidRPr="001A1FCC" w:rsidRDefault="00BB340B">
            <w:pPr>
              <w:spacing w:line="259" w:lineRule="auto"/>
              <w:rPr>
                <w:sz w:val="20"/>
                <w:szCs w:val="20"/>
              </w:rPr>
            </w:pPr>
            <w:r w:rsidRPr="001A1FCC">
              <w:rPr>
                <w:sz w:val="20"/>
                <w:szCs w:val="20"/>
              </w:rPr>
              <w:lastRenderedPageBreak/>
              <w:t>6</w:t>
            </w:r>
            <w:r w:rsidRPr="001A1FCC">
              <w:rPr>
                <w:rFonts w:eastAsia="Calibri" w:cs="Calibri"/>
                <w:sz w:val="20"/>
                <w:szCs w:val="20"/>
              </w:rPr>
              <w:t xml:space="preserve"> </w:t>
            </w:r>
          </w:p>
        </w:tc>
        <w:tc>
          <w:tcPr>
            <w:tcW w:w="928" w:type="pct"/>
            <w:tcBorders>
              <w:top w:val="single" w:sz="4" w:space="0" w:color="000000"/>
              <w:left w:val="single" w:sz="4" w:space="0" w:color="000000"/>
              <w:bottom w:val="single" w:sz="4" w:space="0" w:color="000000"/>
              <w:right w:val="single" w:sz="4" w:space="0" w:color="000000"/>
            </w:tcBorders>
          </w:tcPr>
          <w:p w14:paraId="5914A639" w14:textId="77777777" w:rsidR="00BB340B" w:rsidRPr="001A1FCC" w:rsidRDefault="00BB340B">
            <w:pPr>
              <w:spacing w:line="259" w:lineRule="auto"/>
              <w:rPr>
                <w:sz w:val="20"/>
                <w:szCs w:val="20"/>
              </w:rPr>
            </w:pPr>
            <w:r w:rsidRPr="001A1FCC">
              <w:rPr>
                <w:sz w:val="20"/>
                <w:szCs w:val="20"/>
              </w:rPr>
              <w:t>Art. 8 – intellectueel eigendom / gebruiksrechten / overdracht maatwerk</w:t>
            </w:r>
            <w:r w:rsidRPr="001A1FCC">
              <w:rPr>
                <w:rFonts w:eastAsia="Calibri" w:cs="Calibri"/>
                <w:sz w:val="20"/>
                <w:szCs w:val="20"/>
              </w:rPr>
              <w:t xml:space="preserve"> </w:t>
            </w:r>
          </w:p>
        </w:tc>
        <w:tc>
          <w:tcPr>
            <w:tcW w:w="1314" w:type="pct"/>
            <w:tcBorders>
              <w:top w:val="single" w:sz="4" w:space="0" w:color="000000"/>
              <w:left w:val="single" w:sz="4" w:space="0" w:color="000000"/>
              <w:bottom w:val="single" w:sz="4" w:space="0" w:color="000000"/>
              <w:right w:val="single" w:sz="4" w:space="0" w:color="000000"/>
            </w:tcBorders>
          </w:tcPr>
          <w:p w14:paraId="0839CD13" w14:textId="77777777" w:rsidR="00BB340B" w:rsidRPr="001A1FCC" w:rsidRDefault="00BB340B">
            <w:pPr>
              <w:rPr>
                <w:sz w:val="20"/>
                <w:szCs w:val="20"/>
              </w:rPr>
            </w:pPr>
            <w:r w:rsidRPr="001A1FCC">
              <w:rPr>
                <w:sz w:val="20"/>
                <w:szCs w:val="20"/>
              </w:rPr>
              <w:t xml:space="preserve">AD krijgt een onbeperkt, eeuwigdurend, onvoorwaardelijk en onherroepelijk gebruiksrecht op Resultaten, en IE-rechten op Maatwerk gaan over op AD. Voor energielevering is dit doorgaans niet passend; Leverancier levert energie en verricht </w:t>
            </w:r>
          </w:p>
          <w:p w14:paraId="2C7D08C0" w14:textId="77777777" w:rsidR="00BB340B" w:rsidRPr="001A1FCC" w:rsidRDefault="00BB340B">
            <w:pPr>
              <w:spacing w:line="259" w:lineRule="auto"/>
              <w:ind w:right="17"/>
              <w:rPr>
                <w:sz w:val="20"/>
                <w:szCs w:val="20"/>
              </w:rPr>
            </w:pPr>
            <w:r w:rsidRPr="001A1FCC">
              <w:rPr>
                <w:sz w:val="20"/>
                <w:szCs w:val="20"/>
              </w:rPr>
              <w:t>administratieve/marktprocessen , geen maatwerk-IE.</w:t>
            </w:r>
            <w:r w:rsidRPr="001A1FCC">
              <w:rPr>
                <w:rFonts w:eastAsia="Calibri" w:cs="Calibri"/>
                <w:sz w:val="20"/>
                <w:szCs w:val="20"/>
              </w:rPr>
              <w:t xml:space="preserve"> </w:t>
            </w:r>
          </w:p>
        </w:tc>
        <w:tc>
          <w:tcPr>
            <w:tcW w:w="1369" w:type="pct"/>
            <w:gridSpan w:val="2"/>
            <w:tcBorders>
              <w:top w:val="single" w:sz="4" w:space="0" w:color="000000"/>
              <w:left w:val="single" w:sz="4" w:space="0" w:color="000000"/>
              <w:bottom w:val="single" w:sz="4" w:space="0" w:color="000000"/>
              <w:right w:val="single" w:sz="4" w:space="0" w:color="000000"/>
            </w:tcBorders>
          </w:tcPr>
          <w:p w14:paraId="53C58617" w14:textId="77777777" w:rsidR="00BB340B" w:rsidRPr="001A1FCC" w:rsidRDefault="00BB340B">
            <w:pPr>
              <w:rPr>
                <w:sz w:val="20"/>
                <w:szCs w:val="20"/>
              </w:rPr>
            </w:pPr>
            <w:r w:rsidRPr="001A1FCC">
              <w:rPr>
                <w:sz w:val="20"/>
                <w:szCs w:val="20"/>
              </w:rPr>
              <w:t xml:space="preserve">Eventuele overdracht of gebruiksrechten gelden alleen voor specifiek voor AD ontwikkeld maatwerk, indien </w:t>
            </w:r>
          </w:p>
          <w:p w14:paraId="5BB6001D" w14:textId="77777777" w:rsidR="00BB340B" w:rsidRPr="001A1FCC" w:rsidRDefault="00BB340B">
            <w:pPr>
              <w:spacing w:line="259" w:lineRule="auto"/>
              <w:rPr>
                <w:sz w:val="20"/>
                <w:szCs w:val="20"/>
              </w:rPr>
            </w:pPr>
            <w:r w:rsidRPr="001A1FCC">
              <w:rPr>
                <w:sz w:val="20"/>
                <w:szCs w:val="20"/>
              </w:rPr>
              <w:t>expliciet schriftelijk overeengekomen.</w:t>
            </w:r>
            <w:r w:rsidRPr="001A1FCC">
              <w:rPr>
                <w:rFonts w:eastAsia="Calibri" w:cs="Calibri"/>
                <w:sz w:val="20"/>
                <w:szCs w:val="20"/>
              </w:rPr>
              <w:t xml:space="preserve"> </w:t>
            </w:r>
          </w:p>
        </w:tc>
        <w:tc>
          <w:tcPr>
            <w:tcW w:w="1252" w:type="pct"/>
            <w:tcBorders>
              <w:top w:val="single" w:sz="4" w:space="0" w:color="000000"/>
              <w:left w:val="single" w:sz="4" w:space="0" w:color="000000"/>
              <w:bottom w:val="single" w:sz="4" w:space="0" w:color="000000"/>
              <w:right w:val="single" w:sz="4" w:space="0" w:color="000000"/>
            </w:tcBorders>
          </w:tcPr>
          <w:p w14:paraId="2F71AE20" w14:textId="6C9B3EF3" w:rsidR="00BB340B" w:rsidRPr="001A1FCC" w:rsidRDefault="00A8638F">
            <w:pPr>
              <w:rPr>
                <w:b/>
                <w:bCs/>
                <w:sz w:val="20"/>
                <w:szCs w:val="20"/>
              </w:rPr>
            </w:pPr>
            <w:r w:rsidRPr="001A1FCC">
              <w:rPr>
                <w:sz w:val="20"/>
                <w:szCs w:val="20"/>
              </w:rPr>
              <w:t>Opdrachtgever</w:t>
            </w:r>
            <w:r w:rsidR="00EA15D5" w:rsidRPr="001A1FCC">
              <w:rPr>
                <w:sz w:val="20"/>
                <w:szCs w:val="20"/>
              </w:rPr>
              <w:t xml:space="preserve"> erkennen dat in het kader van energielevering en bijbehorende administratieve processen doorgaans geen sprake zal zijn van maatwerk in de juridische zin en zijn daarom bereid de bepaling te beperken tot situaties waarin expliciet en schriftelijk is overeengekomen dat Leverancier iets specifiek voor AD ontwikkelt. Voor dat specifieke maatwerk houden wij wel vast aan overdracht van IE-rechten aan AD.</w:t>
            </w:r>
          </w:p>
        </w:tc>
      </w:tr>
      <w:tr w:rsidR="00BB340B" w:rsidRPr="001A1FCC" w14:paraId="501C41D6" w14:textId="2B8E3982" w:rsidTr="00952A49">
        <w:trPr>
          <w:trHeight w:val="4698"/>
        </w:trPr>
        <w:tc>
          <w:tcPr>
            <w:tcW w:w="136" w:type="pct"/>
            <w:tcBorders>
              <w:top w:val="single" w:sz="4" w:space="0" w:color="000000"/>
              <w:left w:val="single" w:sz="4" w:space="0" w:color="000000"/>
              <w:bottom w:val="single" w:sz="4" w:space="0" w:color="000000"/>
              <w:right w:val="single" w:sz="4" w:space="0" w:color="000000"/>
            </w:tcBorders>
          </w:tcPr>
          <w:p w14:paraId="5E75957E" w14:textId="77777777" w:rsidR="00BB340B" w:rsidRPr="001A1FCC" w:rsidRDefault="00BB340B">
            <w:pPr>
              <w:spacing w:line="259" w:lineRule="auto"/>
              <w:rPr>
                <w:sz w:val="20"/>
                <w:szCs w:val="20"/>
              </w:rPr>
            </w:pPr>
            <w:r w:rsidRPr="001A1FCC">
              <w:rPr>
                <w:sz w:val="20"/>
                <w:szCs w:val="20"/>
              </w:rPr>
              <w:t>7</w:t>
            </w:r>
            <w:r w:rsidRPr="001A1FCC">
              <w:rPr>
                <w:rFonts w:eastAsia="Calibri" w:cs="Calibri"/>
                <w:sz w:val="20"/>
                <w:szCs w:val="20"/>
              </w:rPr>
              <w:t xml:space="preserve"> </w:t>
            </w:r>
          </w:p>
        </w:tc>
        <w:tc>
          <w:tcPr>
            <w:tcW w:w="928" w:type="pct"/>
            <w:tcBorders>
              <w:top w:val="single" w:sz="4" w:space="0" w:color="000000"/>
              <w:left w:val="single" w:sz="4" w:space="0" w:color="000000"/>
              <w:bottom w:val="single" w:sz="4" w:space="0" w:color="000000"/>
              <w:right w:val="single" w:sz="4" w:space="0" w:color="000000"/>
            </w:tcBorders>
          </w:tcPr>
          <w:p w14:paraId="5FF4EE98" w14:textId="77777777" w:rsidR="00BB340B" w:rsidRPr="001A1FCC" w:rsidRDefault="00BB340B">
            <w:pPr>
              <w:rPr>
                <w:sz w:val="20"/>
                <w:szCs w:val="20"/>
              </w:rPr>
            </w:pPr>
            <w:r w:rsidRPr="001A1FCC">
              <w:rPr>
                <w:sz w:val="20"/>
                <w:szCs w:val="20"/>
              </w:rPr>
              <w:t xml:space="preserve">Art. 8.6-8.8 – onbeperkte </w:t>
            </w:r>
            <w:proofErr w:type="spellStart"/>
            <w:r w:rsidRPr="001A1FCC">
              <w:rPr>
                <w:sz w:val="20"/>
                <w:szCs w:val="20"/>
              </w:rPr>
              <w:t>IEvrijwaring</w:t>
            </w:r>
            <w:proofErr w:type="spellEnd"/>
            <w:r w:rsidRPr="001A1FCC">
              <w:rPr>
                <w:sz w:val="20"/>
                <w:szCs w:val="20"/>
              </w:rPr>
              <w:t xml:space="preserve"> en </w:t>
            </w:r>
          </w:p>
          <w:p w14:paraId="0119825E" w14:textId="77777777" w:rsidR="00BB340B" w:rsidRDefault="00BB340B" w:rsidP="00880FA3">
            <w:pPr>
              <w:spacing w:line="259" w:lineRule="auto"/>
              <w:rPr>
                <w:sz w:val="20"/>
                <w:szCs w:val="20"/>
              </w:rPr>
            </w:pPr>
            <w:r w:rsidRPr="001A1FCC">
              <w:rPr>
                <w:sz w:val="20"/>
                <w:szCs w:val="20"/>
              </w:rPr>
              <w:t>schadevergoeding</w:t>
            </w:r>
            <w:r w:rsidRPr="001A1FCC">
              <w:rPr>
                <w:rFonts w:eastAsia="Calibri" w:cs="Calibri"/>
                <w:sz w:val="20"/>
                <w:szCs w:val="20"/>
              </w:rPr>
              <w:t xml:space="preserve"> </w:t>
            </w:r>
          </w:p>
          <w:p w14:paraId="1A8C4745" w14:textId="77777777" w:rsidR="00880FA3" w:rsidRPr="00880FA3" w:rsidRDefault="00880FA3" w:rsidP="00880FA3">
            <w:pPr>
              <w:rPr>
                <w:sz w:val="20"/>
                <w:szCs w:val="20"/>
              </w:rPr>
            </w:pPr>
          </w:p>
          <w:p w14:paraId="42E0C0C2" w14:textId="77777777" w:rsidR="00880FA3" w:rsidRPr="00880FA3" w:rsidRDefault="00880FA3" w:rsidP="00880FA3">
            <w:pPr>
              <w:rPr>
                <w:sz w:val="20"/>
                <w:szCs w:val="20"/>
              </w:rPr>
            </w:pPr>
          </w:p>
          <w:p w14:paraId="630E0B89" w14:textId="77777777" w:rsidR="00880FA3" w:rsidRPr="00880FA3" w:rsidRDefault="00880FA3" w:rsidP="00880FA3">
            <w:pPr>
              <w:rPr>
                <w:sz w:val="20"/>
                <w:szCs w:val="20"/>
              </w:rPr>
            </w:pPr>
          </w:p>
          <w:p w14:paraId="45EF59E7" w14:textId="77777777" w:rsidR="00880FA3" w:rsidRPr="00880FA3" w:rsidRDefault="00880FA3" w:rsidP="00880FA3">
            <w:pPr>
              <w:rPr>
                <w:sz w:val="20"/>
                <w:szCs w:val="20"/>
              </w:rPr>
            </w:pPr>
          </w:p>
          <w:p w14:paraId="001BF2E8" w14:textId="7B00FF31" w:rsidR="00880FA3" w:rsidRPr="00880FA3" w:rsidRDefault="00880FA3" w:rsidP="00880FA3">
            <w:pPr>
              <w:rPr>
                <w:sz w:val="20"/>
                <w:szCs w:val="20"/>
              </w:rPr>
            </w:pPr>
          </w:p>
        </w:tc>
        <w:tc>
          <w:tcPr>
            <w:tcW w:w="1314" w:type="pct"/>
            <w:tcBorders>
              <w:top w:val="single" w:sz="4" w:space="0" w:color="000000"/>
              <w:left w:val="single" w:sz="4" w:space="0" w:color="000000"/>
              <w:bottom w:val="single" w:sz="4" w:space="0" w:color="000000"/>
              <w:right w:val="single" w:sz="4" w:space="0" w:color="000000"/>
            </w:tcBorders>
          </w:tcPr>
          <w:p w14:paraId="4B426355" w14:textId="77777777" w:rsidR="00BB340B" w:rsidRPr="001A1FCC" w:rsidRDefault="00BB340B">
            <w:pPr>
              <w:spacing w:line="259" w:lineRule="auto"/>
              <w:rPr>
                <w:sz w:val="20"/>
                <w:szCs w:val="20"/>
              </w:rPr>
            </w:pPr>
            <w:r w:rsidRPr="001A1FCC">
              <w:rPr>
                <w:sz w:val="20"/>
                <w:szCs w:val="20"/>
              </w:rPr>
              <w:t xml:space="preserve">AD verlangt een garantie dat prestaties vrij zijn van bijzondere lasten/beperkingen en een vrijwaring tegen </w:t>
            </w:r>
            <w:proofErr w:type="spellStart"/>
            <w:r w:rsidRPr="001A1FCC">
              <w:rPr>
                <w:sz w:val="20"/>
                <w:szCs w:val="20"/>
              </w:rPr>
              <w:t>derdeaanspraken</w:t>
            </w:r>
            <w:proofErr w:type="spellEnd"/>
            <w:r w:rsidRPr="001A1FCC">
              <w:rPr>
                <w:sz w:val="20"/>
                <w:szCs w:val="20"/>
              </w:rPr>
              <w:t>, inclusief vergoeding van alle schade en proces/advocaatkosten. Dit kan leiden tot brede of onbeperkte aansprakelijkheid.</w:t>
            </w:r>
            <w:r w:rsidRPr="001A1FCC">
              <w:rPr>
                <w:rFonts w:eastAsia="Calibri" w:cs="Calibri"/>
                <w:sz w:val="20"/>
                <w:szCs w:val="20"/>
              </w:rPr>
              <w:t xml:space="preserve"> </w:t>
            </w:r>
          </w:p>
        </w:tc>
        <w:tc>
          <w:tcPr>
            <w:tcW w:w="1369" w:type="pct"/>
            <w:gridSpan w:val="2"/>
            <w:tcBorders>
              <w:top w:val="single" w:sz="4" w:space="0" w:color="000000"/>
              <w:left w:val="single" w:sz="4" w:space="0" w:color="000000"/>
              <w:bottom w:val="single" w:sz="4" w:space="0" w:color="000000"/>
              <w:right w:val="single" w:sz="4" w:space="0" w:color="000000"/>
            </w:tcBorders>
          </w:tcPr>
          <w:p w14:paraId="4CE97E6F" w14:textId="77777777" w:rsidR="00BB340B" w:rsidRPr="001A1FCC" w:rsidRDefault="00BB340B">
            <w:pPr>
              <w:rPr>
                <w:sz w:val="20"/>
                <w:szCs w:val="20"/>
              </w:rPr>
            </w:pPr>
            <w:r w:rsidRPr="001A1FCC">
              <w:rPr>
                <w:sz w:val="20"/>
                <w:szCs w:val="20"/>
              </w:rPr>
              <w:t xml:space="preserve">De vrijwaring wordt beperkt tot inbreuk door materiaal dat </w:t>
            </w:r>
          </w:p>
          <w:p w14:paraId="34A44649" w14:textId="113A6F9E" w:rsidR="00BB340B" w:rsidRPr="001A1FCC" w:rsidRDefault="00BB340B">
            <w:pPr>
              <w:ind w:right="22"/>
              <w:rPr>
                <w:sz w:val="20"/>
                <w:szCs w:val="20"/>
              </w:rPr>
            </w:pPr>
            <w:r w:rsidRPr="001A1FCC">
              <w:rPr>
                <w:sz w:val="20"/>
                <w:szCs w:val="20"/>
              </w:rPr>
              <w:t>Leverancier specifiek voor AD heeft ontwikkeld en geleverd, met uitsluiting van AD</w:t>
            </w:r>
            <w:r w:rsidR="00195F73" w:rsidRPr="001A1FCC">
              <w:rPr>
                <w:sz w:val="20"/>
                <w:szCs w:val="20"/>
              </w:rPr>
              <w:t xml:space="preserve"> </w:t>
            </w:r>
            <w:r w:rsidRPr="001A1FCC">
              <w:rPr>
                <w:sz w:val="20"/>
                <w:szCs w:val="20"/>
              </w:rPr>
              <w:t xml:space="preserve">data, door AD voorgeschreven specificaties, standaarddiensten en rechten van derden, en onder de </w:t>
            </w:r>
          </w:p>
          <w:p w14:paraId="1D292FD2" w14:textId="0636166E" w:rsidR="00BB340B" w:rsidRPr="001A1FCC" w:rsidRDefault="00BB340B">
            <w:pPr>
              <w:spacing w:line="259" w:lineRule="auto"/>
              <w:rPr>
                <w:sz w:val="20"/>
                <w:szCs w:val="20"/>
              </w:rPr>
            </w:pPr>
            <w:r w:rsidRPr="001A1FCC">
              <w:rPr>
                <w:sz w:val="20"/>
                <w:szCs w:val="20"/>
              </w:rPr>
              <w:t xml:space="preserve">aansprakelijkheidslimiet en uit de voorwaarden van </w:t>
            </w:r>
            <w:r w:rsidR="00880FA3">
              <w:rPr>
                <w:sz w:val="20"/>
                <w:szCs w:val="20"/>
              </w:rPr>
              <w:t>l</w:t>
            </w:r>
            <w:r w:rsidRPr="001A1FCC">
              <w:rPr>
                <w:sz w:val="20"/>
                <w:szCs w:val="20"/>
              </w:rPr>
              <w:t>everancier.</w:t>
            </w:r>
            <w:r w:rsidRPr="001A1FCC">
              <w:rPr>
                <w:rFonts w:eastAsia="Calibri" w:cs="Calibri"/>
                <w:sz w:val="20"/>
                <w:szCs w:val="20"/>
              </w:rPr>
              <w:t xml:space="preserve"> </w:t>
            </w:r>
          </w:p>
        </w:tc>
        <w:tc>
          <w:tcPr>
            <w:tcW w:w="1252" w:type="pct"/>
            <w:tcBorders>
              <w:top w:val="single" w:sz="4" w:space="0" w:color="000000"/>
              <w:left w:val="single" w:sz="4" w:space="0" w:color="000000"/>
              <w:bottom w:val="single" w:sz="4" w:space="0" w:color="000000"/>
              <w:right w:val="single" w:sz="4" w:space="0" w:color="000000"/>
            </w:tcBorders>
          </w:tcPr>
          <w:p w14:paraId="0A40F0BE" w14:textId="14B4C2D4" w:rsidR="00BB340B" w:rsidRPr="001A1FCC" w:rsidRDefault="00B11C2F">
            <w:pPr>
              <w:rPr>
                <w:sz w:val="20"/>
                <w:szCs w:val="20"/>
              </w:rPr>
            </w:pPr>
            <w:r w:rsidRPr="001A1FCC">
              <w:rPr>
                <w:sz w:val="20"/>
                <w:szCs w:val="20"/>
              </w:rPr>
              <w:t>O</w:t>
            </w:r>
            <w:r w:rsidR="00A8638F" w:rsidRPr="001A1FCC">
              <w:rPr>
                <w:sz w:val="20"/>
                <w:szCs w:val="20"/>
              </w:rPr>
              <w:t>pdrachtgever</w:t>
            </w:r>
            <w:r w:rsidR="00267727" w:rsidRPr="001A1FCC">
              <w:rPr>
                <w:sz w:val="20"/>
                <w:szCs w:val="20"/>
              </w:rPr>
              <w:t xml:space="preserve"> erken</w:t>
            </w:r>
            <w:r w:rsidR="00A8638F" w:rsidRPr="001A1FCC">
              <w:rPr>
                <w:sz w:val="20"/>
                <w:szCs w:val="20"/>
              </w:rPr>
              <w:t>t</w:t>
            </w:r>
            <w:r w:rsidR="00267727" w:rsidRPr="001A1FCC">
              <w:rPr>
                <w:sz w:val="20"/>
                <w:szCs w:val="20"/>
              </w:rPr>
              <w:t xml:space="preserve"> dat een brede vrijwaring inclusief alle proces- en advocaatkosten te ver gaat voor standaarddiensten zoals energielevering, en zijn bereid de vrijwaring te beperken tot materiaal dat Leverancier specifiek voor AD heeft ontwikkeld, met toepassing van de aansprakelijkheidslimiet uit de voorwaarden van Leverancier. Voor dat specifieke maatwerk houden wij wel vast aan een volledige vrijwaring tegen derde</w:t>
            </w:r>
            <w:r w:rsidR="00195F73" w:rsidRPr="001A1FCC">
              <w:rPr>
                <w:sz w:val="20"/>
                <w:szCs w:val="20"/>
              </w:rPr>
              <w:t xml:space="preserve"> </w:t>
            </w:r>
            <w:r w:rsidR="00267727" w:rsidRPr="001A1FCC">
              <w:rPr>
                <w:sz w:val="20"/>
                <w:szCs w:val="20"/>
              </w:rPr>
              <w:t>aanspraken wegens IE-inbreuk.</w:t>
            </w:r>
          </w:p>
        </w:tc>
      </w:tr>
      <w:tr w:rsidR="00BB340B" w:rsidRPr="001A1FCC" w14:paraId="6F228154" w14:textId="1690D17A" w:rsidTr="00952A49">
        <w:trPr>
          <w:trHeight w:val="3233"/>
        </w:trPr>
        <w:tc>
          <w:tcPr>
            <w:tcW w:w="136" w:type="pct"/>
            <w:tcBorders>
              <w:top w:val="single" w:sz="4" w:space="0" w:color="000000"/>
              <w:left w:val="single" w:sz="4" w:space="0" w:color="000000"/>
              <w:bottom w:val="single" w:sz="4" w:space="0" w:color="000000"/>
              <w:right w:val="single" w:sz="4" w:space="0" w:color="000000"/>
            </w:tcBorders>
          </w:tcPr>
          <w:p w14:paraId="67169192" w14:textId="6CBEE296" w:rsidR="00BB340B" w:rsidRPr="001A1FCC" w:rsidRDefault="00BB340B">
            <w:pPr>
              <w:spacing w:line="259" w:lineRule="auto"/>
              <w:rPr>
                <w:sz w:val="20"/>
                <w:szCs w:val="20"/>
              </w:rPr>
            </w:pPr>
            <w:r w:rsidRPr="001A1FCC">
              <w:rPr>
                <w:sz w:val="20"/>
                <w:szCs w:val="20"/>
              </w:rPr>
              <w:lastRenderedPageBreak/>
              <w:t>8</w:t>
            </w:r>
            <w:r w:rsidRPr="001A1FCC">
              <w:rPr>
                <w:rFonts w:eastAsia="Calibri" w:cs="Calibri"/>
                <w:sz w:val="20"/>
                <w:szCs w:val="20"/>
              </w:rPr>
              <w:t xml:space="preserve"> </w:t>
            </w:r>
          </w:p>
        </w:tc>
        <w:tc>
          <w:tcPr>
            <w:tcW w:w="928" w:type="pct"/>
            <w:tcBorders>
              <w:top w:val="single" w:sz="4" w:space="0" w:color="000000"/>
              <w:left w:val="single" w:sz="4" w:space="0" w:color="000000"/>
              <w:bottom w:val="single" w:sz="4" w:space="0" w:color="000000"/>
              <w:right w:val="single" w:sz="4" w:space="0" w:color="000000"/>
            </w:tcBorders>
          </w:tcPr>
          <w:p w14:paraId="67DB7E48" w14:textId="77777777" w:rsidR="00BB340B" w:rsidRPr="001A1FCC" w:rsidRDefault="00BB340B">
            <w:pPr>
              <w:spacing w:line="259" w:lineRule="auto"/>
              <w:rPr>
                <w:sz w:val="20"/>
                <w:szCs w:val="20"/>
              </w:rPr>
            </w:pPr>
            <w:r w:rsidRPr="001A1FCC">
              <w:rPr>
                <w:sz w:val="20"/>
                <w:szCs w:val="20"/>
              </w:rPr>
              <w:t xml:space="preserve">Art. 9 – </w:t>
            </w:r>
          </w:p>
          <w:p w14:paraId="6A886DBD" w14:textId="77777777" w:rsidR="00BB340B" w:rsidRPr="001A1FCC" w:rsidRDefault="00BB340B">
            <w:pPr>
              <w:rPr>
                <w:sz w:val="20"/>
                <w:szCs w:val="20"/>
              </w:rPr>
            </w:pPr>
            <w:r w:rsidRPr="001A1FCC">
              <w:rPr>
                <w:sz w:val="20"/>
                <w:szCs w:val="20"/>
              </w:rPr>
              <w:t xml:space="preserve">verwerking persoonsgegeven s / </w:t>
            </w:r>
            <w:proofErr w:type="spellStart"/>
            <w:r w:rsidRPr="001A1FCC">
              <w:rPr>
                <w:sz w:val="20"/>
                <w:szCs w:val="20"/>
              </w:rPr>
              <w:t>VNGverwerkersmodel</w:t>
            </w:r>
            <w:proofErr w:type="spellEnd"/>
          </w:p>
          <w:p w14:paraId="0EE6E6D8" w14:textId="77777777" w:rsidR="00BB340B" w:rsidRPr="001A1FCC" w:rsidRDefault="00BB340B">
            <w:pPr>
              <w:spacing w:line="259" w:lineRule="auto"/>
              <w:rPr>
                <w:sz w:val="20"/>
                <w:szCs w:val="20"/>
              </w:rPr>
            </w:pPr>
            <w:proofErr w:type="spellStart"/>
            <w:r w:rsidRPr="001A1FCC">
              <w:rPr>
                <w:sz w:val="20"/>
                <w:szCs w:val="20"/>
              </w:rPr>
              <w:t>len</w:t>
            </w:r>
            <w:proofErr w:type="spellEnd"/>
            <w:r w:rsidRPr="001A1FCC">
              <w:rPr>
                <w:rFonts w:eastAsia="Calibri" w:cs="Calibri"/>
                <w:sz w:val="20"/>
                <w:szCs w:val="20"/>
              </w:rPr>
              <w:t xml:space="preserve"> </w:t>
            </w:r>
          </w:p>
        </w:tc>
        <w:tc>
          <w:tcPr>
            <w:tcW w:w="1314" w:type="pct"/>
            <w:tcBorders>
              <w:top w:val="single" w:sz="4" w:space="0" w:color="000000"/>
              <w:left w:val="single" w:sz="4" w:space="0" w:color="000000"/>
              <w:bottom w:val="single" w:sz="4" w:space="0" w:color="000000"/>
              <w:right w:val="single" w:sz="4" w:space="0" w:color="000000"/>
            </w:tcBorders>
          </w:tcPr>
          <w:p w14:paraId="4B32B79F" w14:textId="77777777" w:rsidR="00BB340B" w:rsidRPr="001A1FCC" w:rsidRDefault="00BB340B">
            <w:pPr>
              <w:spacing w:line="259" w:lineRule="auto"/>
              <w:ind w:right="28"/>
              <w:rPr>
                <w:sz w:val="20"/>
                <w:szCs w:val="20"/>
              </w:rPr>
            </w:pPr>
            <w:r w:rsidRPr="001A1FCC">
              <w:rPr>
                <w:sz w:val="20"/>
                <w:szCs w:val="20"/>
              </w:rPr>
              <w:t>AD schrijft voor dat bij verwerking als verwerker de Verwerkersovereenkomst geldt en bij gezamenlijke verantwoordelijkheid de overeenkomst gezamenlijke verwerkingsverantwoordelijken. Dit kan botsen met de eigen privacyregeling en operationele rol van Leverancier als energieleverancier.</w:t>
            </w:r>
            <w:r w:rsidRPr="001A1FCC">
              <w:rPr>
                <w:rFonts w:eastAsia="Calibri" w:cs="Calibri"/>
                <w:sz w:val="20"/>
                <w:szCs w:val="20"/>
              </w:rPr>
              <w:t xml:space="preserve"> </w:t>
            </w:r>
          </w:p>
        </w:tc>
        <w:tc>
          <w:tcPr>
            <w:tcW w:w="1164" w:type="pct"/>
            <w:tcBorders>
              <w:top w:val="single" w:sz="4" w:space="0" w:color="000000"/>
              <w:left w:val="single" w:sz="4" w:space="0" w:color="000000"/>
              <w:bottom w:val="single" w:sz="4" w:space="0" w:color="000000"/>
              <w:right w:val="single" w:sz="4" w:space="0" w:color="000000"/>
            </w:tcBorders>
          </w:tcPr>
          <w:p w14:paraId="73BB2FB7" w14:textId="311D8FAE" w:rsidR="00BB340B" w:rsidRPr="001A1FCC" w:rsidRDefault="00BB340B">
            <w:pPr>
              <w:spacing w:line="259" w:lineRule="auto"/>
              <w:rPr>
                <w:sz w:val="20"/>
                <w:szCs w:val="20"/>
              </w:rPr>
            </w:pPr>
            <w:r w:rsidRPr="001A1FCC">
              <w:rPr>
                <w:sz w:val="20"/>
                <w:szCs w:val="20"/>
              </w:rPr>
              <w:t xml:space="preserve">Artikel 9 is niet van toepassing voor zover </w:t>
            </w:r>
            <w:proofErr w:type="spellStart"/>
            <w:r w:rsidRPr="001A1FCC">
              <w:rPr>
                <w:sz w:val="20"/>
                <w:szCs w:val="20"/>
              </w:rPr>
              <w:t>AD’s</w:t>
            </w:r>
            <w:proofErr w:type="spellEnd"/>
            <w:r w:rsidRPr="001A1FCC">
              <w:rPr>
                <w:sz w:val="20"/>
                <w:szCs w:val="20"/>
              </w:rPr>
              <w:t xml:space="preserve"> VNG-modellen automatisch van toepassing worden verklaard.</w:t>
            </w:r>
            <w:r w:rsidRPr="001A1FCC">
              <w:rPr>
                <w:rFonts w:eastAsia="Calibri" w:cs="Calibri"/>
                <w:sz w:val="20"/>
                <w:szCs w:val="20"/>
              </w:rPr>
              <w:t xml:space="preserve"> </w:t>
            </w:r>
            <w:r w:rsidRPr="001A1FCC">
              <w:rPr>
                <w:sz w:val="20"/>
                <w:szCs w:val="20"/>
              </w:rPr>
              <w:t xml:space="preserve">Eerst moet de rolverdeling worden vastgesteld. De privacyregeling, wettelijke verplichtingen en energieprocessen </w:t>
            </w:r>
            <w:r w:rsidR="00960E6F" w:rsidRPr="001A1FCC">
              <w:rPr>
                <w:sz w:val="20"/>
                <w:szCs w:val="20"/>
              </w:rPr>
              <w:t>van Leverancier blijven leidend.</w:t>
            </w:r>
          </w:p>
        </w:tc>
        <w:tc>
          <w:tcPr>
            <w:tcW w:w="1457" w:type="pct"/>
            <w:gridSpan w:val="2"/>
            <w:tcBorders>
              <w:top w:val="single" w:sz="4" w:space="0" w:color="000000"/>
              <w:left w:val="single" w:sz="4" w:space="0" w:color="000000"/>
              <w:bottom w:val="single" w:sz="4" w:space="0" w:color="000000"/>
              <w:right w:val="single" w:sz="4" w:space="0" w:color="000000"/>
            </w:tcBorders>
          </w:tcPr>
          <w:p w14:paraId="4CC0E2BA" w14:textId="4ED06309" w:rsidR="00BB340B" w:rsidRPr="001A1FCC" w:rsidRDefault="00C661C0">
            <w:pPr>
              <w:spacing w:line="259" w:lineRule="auto"/>
              <w:rPr>
                <w:color w:val="EE0000"/>
                <w:sz w:val="20"/>
                <w:szCs w:val="20"/>
              </w:rPr>
            </w:pPr>
            <w:r w:rsidRPr="001A1FCC">
              <w:rPr>
                <w:sz w:val="20"/>
                <w:szCs w:val="20"/>
              </w:rPr>
              <w:t>Opdrachtgever</w:t>
            </w:r>
            <w:r w:rsidR="00DB2AD9" w:rsidRPr="001A1FCC">
              <w:rPr>
                <w:sz w:val="20"/>
                <w:szCs w:val="20"/>
              </w:rPr>
              <w:t xml:space="preserve"> begrijp</w:t>
            </w:r>
            <w:r w:rsidRPr="001A1FCC">
              <w:rPr>
                <w:sz w:val="20"/>
                <w:szCs w:val="20"/>
              </w:rPr>
              <w:t>t</w:t>
            </w:r>
            <w:r w:rsidR="00DB2AD9" w:rsidRPr="001A1FCC">
              <w:rPr>
                <w:sz w:val="20"/>
                <w:szCs w:val="20"/>
              </w:rPr>
              <w:t xml:space="preserve"> dat Leverancier als energieleverancier een eigen wettelijke rol heeft in de verwerking van persoonsgegevens. AD is bereid, om daar waar onduidelijk, eerst gezamenlijk de rolverdeling vast te stellen voordat wordt bepaald welk model van toepassing is. Wij houden er echter aan vast dat zodra de rolverdeling is bepaald, het toepasselijke VNG-model zonder verdere discussie wordt gehanteerd.</w:t>
            </w:r>
          </w:p>
        </w:tc>
      </w:tr>
    </w:tbl>
    <w:p w14:paraId="19C86B7A" w14:textId="77777777" w:rsidR="00967C55" w:rsidRPr="001A1FCC" w:rsidRDefault="00967C55">
      <w:pPr>
        <w:spacing w:after="0" w:line="259" w:lineRule="auto"/>
        <w:ind w:left="-1417" w:right="10120"/>
        <w:rPr>
          <w:sz w:val="20"/>
          <w:szCs w:val="20"/>
        </w:rPr>
      </w:pPr>
    </w:p>
    <w:tbl>
      <w:tblPr>
        <w:tblStyle w:val="TableGrid"/>
        <w:tblW w:w="5000" w:type="pct"/>
        <w:tblInd w:w="0" w:type="dxa"/>
        <w:tblCellMar>
          <w:top w:w="5" w:type="dxa"/>
          <w:left w:w="108" w:type="dxa"/>
          <w:right w:w="69" w:type="dxa"/>
        </w:tblCellMar>
        <w:tblLook w:val="04A0" w:firstRow="1" w:lastRow="0" w:firstColumn="1" w:lastColumn="0" w:noHBand="0" w:noVBand="1"/>
      </w:tblPr>
      <w:tblGrid>
        <w:gridCol w:w="515"/>
        <w:gridCol w:w="1945"/>
        <w:gridCol w:w="3773"/>
        <w:gridCol w:w="3608"/>
        <w:gridCol w:w="4153"/>
      </w:tblGrid>
      <w:tr w:rsidR="00960E6F" w:rsidRPr="001A1FCC" w14:paraId="4F8A7CEB" w14:textId="35E29A5D" w:rsidTr="00745FF8">
        <w:trPr>
          <w:trHeight w:val="3818"/>
        </w:trPr>
        <w:tc>
          <w:tcPr>
            <w:tcW w:w="184" w:type="pct"/>
            <w:tcBorders>
              <w:top w:val="single" w:sz="4" w:space="0" w:color="000000"/>
              <w:left w:val="single" w:sz="4" w:space="0" w:color="000000"/>
              <w:bottom w:val="single" w:sz="4" w:space="0" w:color="000000"/>
              <w:right w:val="single" w:sz="4" w:space="0" w:color="000000"/>
            </w:tcBorders>
          </w:tcPr>
          <w:p w14:paraId="328546DF" w14:textId="77777777" w:rsidR="00960E6F" w:rsidRPr="001A1FCC" w:rsidRDefault="00960E6F">
            <w:pPr>
              <w:spacing w:line="259" w:lineRule="auto"/>
              <w:rPr>
                <w:sz w:val="20"/>
                <w:szCs w:val="20"/>
              </w:rPr>
            </w:pPr>
            <w:r w:rsidRPr="001A1FCC">
              <w:rPr>
                <w:sz w:val="20"/>
                <w:szCs w:val="20"/>
              </w:rPr>
              <w:t>9</w:t>
            </w:r>
            <w:r w:rsidRPr="001A1FCC">
              <w:rPr>
                <w:rFonts w:eastAsia="Calibri" w:cs="Calibri"/>
                <w:sz w:val="20"/>
                <w:szCs w:val="20"/>
              </w:rPr>
              <w:t xml:space="preserve"> </w:t>
            </w:r>
          </w:p>
        </w:tc>
        <w:tc>
          <w:tcPr>
            <w:tcW w:w="695" w:type="pct"/>
            <w:tcBorders>
              <w:top w:val="single" w:sz="4" w:space="0" w:color="000000"/>
              <w:left w:val="single" w:sz="4" w:space="0" w:color="000000"/>
              <w:bottom w:val="single" w:sz="4" w:space="0" w:color="000000"/>
              <w:right w:val="single" w:sz="4" w:space="0" w:color="000000"/>
            </w:tcBorders>
          </w:tcPr>
          <w:p w14:paraId="3DFCB9E5" w14:textId="77777777" w:rsidR="00960E6F" w:rsidRPr="001A1FCC" w:rsidRDefault="00960E6F">
            <w:pPr>
              <w:spacing w:line="259" w:lineRule="auto"/>
              <w:rPr>
                <w:sz w:val="20"/>
                <w:szCs w:val="20"/>
              </w:rPr>
            </w:pPr>
            <w:r w:rsidRPr="001A1FCC">
              <w:rPr>
                <w:sz w:val="20"/>
                <w:szCs w:val="20"/>
              </w:rPr>
              <w:t>Art. 10 – Data: kosteloze toegang, opslag, openbaarmaking en gebruik door derden</w:t>
            </w:r>
            <w:r w:rsidRPr="001A1FCC">
              <w:rPr>
                <w:rFonts w:eastAsia="Calibri" w:cs="Calibri"/>
                <w:sz w:val="20"/>
                <w:szCs w:val="20"/>
              </w:rPr>
              <w:t xml:space="preserve"> </w:t>
            </w:r>
          </w:p>
        </w:tc>
        <w:tc>
          <w:tcPr>
            <w:tcW w:w="1348" w:type="pct"/>
            <w:tcBorders>
              <w:top w:val="single" w:sz="4" w:space="0" w:color="000000"/>
              <w:left w:val="single" w:sz="4" w:space="0" w:color="000000"/>
              <w:bottom w:val="single" w:sz="4" w:space="0" w:color="000000"/>
              <w:right w:val="single" w:sz="4" w:space="0" w:color="000000"/>
            </w:tcBorders>
          </w:tcPr>
          <w:p w14:paraId="23745AB6" w14:textId="77777777" w:rsidR="00960E6F" w:rsidRPr="001A1FCC" w:rsidRDefault="00960E6F">
            <w:pPr>
              <w:spacing w:line="259" w:lineRule="auto"/>
              <w:ind w:right="24"/>
              <w:rPr>
                <w:sz w:val="20"/>
                <w:szCs w:val="20"/>
              </w:rPr>
            </w:pPr>
            <w:r w:rsidRPr="001A1FCC">
              <w:rPr>
                <w:sz w:val="20"/>
                <w:szCs w:val="20"/>
              </w:rPr>
              <w:t>AD verlangt kosteloze technische toegang tot data, verstrekking in leesbaar formaat met documentatie, en bevestigt dat AD data mag opslaan, verder gebruiken, openbaar inzichtelijk maken en aan derden beschikbaar stellen. Dit is te ruim voor meetdata, handelsdata, pricingdata, portfolio-/</w:t>
            </w:r>
            <w:proofErr w:type="spellStart"/>
            <w:r w:rsidRPr="001A1FCC">
              <w:rPr>
                <w:sz w:val="20"/>
                <w:szCs w:val="20"/>
              </w:rPr>
              <w:t>balanceringsdata</w:t>
            </w:r>
            <w:proofErr w:type="spellEnd"/>
            <w:r w:rsidRPr="001A1FCC">
              <w:rPr>
                <w:sz w:val="20"/>
                <w:szCs w:val="20"/>
              </w:rPr>
              <w:t xml:space="preserve"> en bedrijfsvertrouwelijke gegevens van Leverancier.</w:t>
            </w:r>
            <w:r w:rsidRPr="001A1FCC">
              <w:rPr>
                <w:rFonts w:eastAsia="Calibri" w:cs="Calibri"/>
                <w:sz w:val="20"/>
                <w:szCs w:val="20"/>
              </w:rPr>
              <w:t xml:space="preserve"> </w:t>
            </w:r>
          </w:p>
        </w:tc>
        <w:tc>
          <w:tcPr>
            <w:tcW w:w="1289" w:type="pct"/>
            <w:tcBorders>
              <w:top w:val="single" w:sz="4" w:space="0" w:color="000000"/>
              <w:left w:val="single" w:sz="4" w:space="0" w:color="000000"/>
              <w:bottom w:val="single" w:sz="4" w:space="0" w:color="000000"/>
              <w:right w:val="single" w:sz="4" w:space="0" w:color="000000"/>
            </w:tcBorders>
          </w:tcPr>
          <w:p w14:paraId="41C8CDC3" w14:textId="77777777" w:rsidR="00960E6F" w:rsidRPr="001A1FCC" w:rsidRDefault="00960E6F">
            <w:pPr>
              <w:spacing w:line="259" w:lineRule="auto"/>
              <w:rPr>
                <w:sz w:val="20"/>
                <w:szCs w:val="20"/>
              </w:rPr>
            </w:pPr>
            <w:r w:rsidRPr="001A1FCC">
              <w:rPr>
                <w:sz w:val="20"/>
                <w:szCs w:val="20"/>
              </w:rPr>
              <w:t>De verplichting wordt beperkt tot meet- en facturatiegegevens die Leverancier wettelijk en contractueel mag delen, met uitsluiting van bedrijfsgeheimen, handelsdata, portfolio/</w:t>
            </w:r>
            <w:proofErr w:type="spellStart"/>
            <w:r w:rsidRPr="001A1FCC">
              <w:rPr>
                <w:sz w:val="20"/>
                <w:szCs w:val="20"/>
              </w:rPr>
              <w:t>balanceringsdata</w:t>
            </w:r>
            <w:proofErr w:type="spellEnd"/>
            <w:r w:rsidRPr="001A1FCC">
              <w:rPr>
                <w:sz w:val="20"/>
                <w:szCs w:val="20"/>
              </w:rPr>
              <w:t>, pricingmodellen, systemen en gegevens van derden.</w:t>
            </w:r>
            <w:r w:rsidRPr="001A1FCC">
              <w:rPr>
                <w:rFonts w:eastAsia="Calibri" w:cs="Calibri"/>
                <w:sz w:val="20"/>
                <w:szCs w:val="20"/>
              </w:rPr>
              <w:t xml:space="preserve"> </w:t>
            </w:r>
          </w:p>
        </w:tc>
        <w:tc>
          <w:tcPr>
            <w:tcW w:w="1484" w:type="pct"/>
            <w:tcBorders>
              <w:top w:val="single" w:sz="4" w:space="0" w:color="000000"/>
              <w:left w:val="single" w:sz="4" w:space="0" w:color="000000"/>
              <w:bottom w:val="single" w:sz="4" w:space="0" w:color="000000"/>
              <w:right w:val="single" w:sz="4" w:space="0" w:color="000000"/>
            </w:tcBorders>
          </w:tcPr>
          <w:p w14:paraId="5148C2E4" w14:textId="4B680586" w:rsidR="00960E6F" w:rsidRPr="001A1FCC" w:rsidRDefault="00A13D0F">
            <w:pPr>
              <w:spacing w:line="259" w:lineRule="auto"/>
              <w:rPr>
                <w:sz w:val="20"/>
                <w:szCs w:val="20"/>
              </w:rPr>
            </w:pPr>
            <w:r w:rsidRPr="001A1FCC">
              <w:rPr>
                <w:sz w:val="20"/>
                <w:szCs w:val="20"/>
              </w:rPr>
              <w:t>Opdrachtgever</w:t>
            </w:r>
            <w:r w:rsidR="0018285E" w:rsidRPr="001A1FCC">
              <w:rPr>
                <w:sz w:val="20"/>
                <w:szCs w:val="20"/>
              </w:rPr>
              <w:t xml:space="preserve"> </w:t>
            </w:r>
            <w:r w:rsidR="00952A49" w:rsidRPr="001A1FCC">
              <w:rPr>
                <w:sz w:val="20"/>
                <w:szCs w:val="20"/>
              </w:rPr>
              <w:t>begrijpt</w:t>
            </w:r>
            <w:r w:rsidR="0018285E" w:rsidRPr="001A1FCC">
              <w:rPr>
                <w:sz w:val="20"/>
                <w:szCs w:val="20"/>
              </w:rPr>
              <w:t xml:space="preserve"> dat een onbeperkt recht op toegang tot en verdere verspreiding van alle data te ver gaat voor commercieel gevoelige gegevens zoals handels-, pricing- en </w:t>
            </w:r>
            <w:proofErr w:type="spellStart"/>
            <w:r w:rsidR="0018285E" w:rsidRPr="001A1FCC">
              <w:rPr>
                <w:sz w:val="20"/>
                <w:szCs w:val="20"/>
              </w:rPr>
              <w:t>balanceringsdata</w:t>
            </w:r>
            <w:proofErr w:type="spellEnd"/>
            <w:r w:rsidR="0018285E" w:rsidRPr="001A1FCC">
              <w:rPr>
                <w:sz w:val="20"/>
                <w:szCs w:val="20"/>
              </w:rPr>
              <w:t>, en zijn bereid de verplichting te beperken tot meet- en facturatiegegevens die Leverancier wettelijk mag delen. Wij houden er echter aan vast dat AD deze gegevens vrijelijk mag opslaan, gebruiken en waar nodig aan derden beschikbaar stellen in het kader van haar publieke taak.</w:t>
            </w:r>
          </w:p>
        </w:tc>
      </w:tr>
      <w:tr w:rsidR="00960E6F" w:rsidRPr="001A1FCC" w14:paraId="26C59086" w14:textId="23F8498C" w:rsidTr="00745FF8">
        <w:trPr>
          <w:trHeight w:val="3233"/>
        </w:trPr>
        <w:tc>
          <w:tcPr>
            <w:tcW w:w="184" w:type="pct"/>
            <w:tcBorders>
              <w:top w:val="single" w:sz="4" w:space="0" w:color="000000"/>
              <w:left w:val="single" w:sz="4" w:space="0" w:color="000000"/>
              <w:bottom w:val="single" w:sz="4" w:space="0" w:color="000000"/>
              <w:right w:val="single" w:sz="4" w:space="0" w:color="000000"/>
            </w:tcBorders>
          </w:tcPr>
          <w:p w14:paraId="0EE71D5D" w14:textId="77777777" w:rsidR="00960E6F" w:rsidRPr="001A1FCC" w:rsidRDefault="00960E6F">
            <w:pPr>
              <w:spacing w:line="259" w:lineRule="auto"/>
              <w:rPr>
                <w:sz w:val="20"/>
                <w:szCs w:val="20"/>
              </w:rPr>
            </w:pPr>
            <w:r w:rsidRPr="001A1FCC">
              <w:rPr>
                <w:sz w:val="20"/>
                <w:szCs w:val="20"/>
              </w:rPr>
              <w:lastRenderedPageBreak/>
              <w:t>10</w:t>
            </w:r>
            <w:r w:rsidRPr="001A1FCC">
              <w:rPr>
                <w:rFonts w:eastAsia="Calibri" w:cs="Calibri"/>
                <w:sz w:val="20"/>
                <w:szCs w:val="20"/>
              </w:rPr>
              <w:t xml:space="preserve"> </w:t>
            </w:r>
          </w:p>
        </w:tc>
        <w:tc>
          <w:tcPr>
            <w:tcW w:w="695" w:type="pct"/>
            <w:tcBorders>
              <w:top w:val="single" w:sz="4" w:space="0" w:color="000000"/>
              <w:left w:val="single" w:sz="4" w:space="0" w:color="000000"/>
              <w:bottom w:val="single" w:sz="4" w:space="0" w:color="000000"/>
              <w:right w:val="single" w:sz="4" w:space="0" w:color="000000"/>
            </w:tcBorders>
          </w:tcPr>
          <w:p w14:paraId="535E3208" w14:textId="77777777" w:rsidR="00960E6F" w:rsidRPr="001A1FCC" w:rsidRDefault="00960E6F">
            <w:pPr>
              <w:spacing w:line="259" w:lineRule="auto"/>
              <w:rPr>
                <w:sz w:val="20"/>
                <w:szCs w:val="20"/>
              </w:rPr>
            </w:pPr>
            <w:r w:rsidRPr="001A1FCC">
              <w:rPr>
                <w:sz w:val="20"/>
                <w:szCs w:val="20"/>
              </w:rPr>
              <w:t>Art. 11 – wijziging overeenkomst door AD</w:t>
            </w:r>
            <w:r w:rsidRPr="001A1FCC">
              <w:rPr>
                <w:rFonts w:eastAsia="Calibri" w:cs="Calibri"/>
                <w:sz w:val="20"/>
                <w:szCs w:val="20"/>
              </w:rPr>
              <w:t xml:space="preserve"> </w:t>
            </w:r>
          </w:p>
        </w:tc>
        <w:tc>
          <w:tcPr>
            <w:tcW w:w="1348" w:type="pct"/>
            <w:tcBorders>
              <w:top w:val="single" w:sz="4" w:space="0" w:color="000000"/>
              <w:left w:val="single" w:sz="4" w:space="0" w:color="000000"/>
              <w:bottom w:val="single" w:sz="4" w:space="0" w:color="000000"/>
              <w:right w:val="single" w:sz="4" w:space="0" w:color="000000"/>
            </w:tcBorders>
          </w:tcPr>
          <w:p w14:paraId="5FB22E0D" w14:textId="77777777" w:rsidR="00960E6F" w:rsidRPr="001A1FCC" w:rsidRDefault="00960E6F">
            <w:pPr>
              <w:spacing w:line="259" w:lineRule="auto"/>
              <w:rPr>
                <w:sz w:val="20"/>
                <w:szCs w:val="20"/>
              </w:rPr>
            </w:pPr>
            <w:r w:rsidRPr="001A1FCC">
              <w:rPr>
                <w:sz w:val="20"/>
                <w:szCs w:val="20"/>
              </w:rPr>
              <w:t>AD is bevoegd de overeenkomst schriftelijk te wijzigen of aan te vullen na overleg en instemming over de gevolgen. Dit moet worden geharmoniseerd met de voorwaarden van Leverancier: wijzigingen zijn alleen geldig indien schriftelijk vastgelegd en rechtsgeldig bevestigd door bevoegde vertegenwoordigers van beide partijen.</w:t>
            </w:r>
            <w:r w:rsidRPr="001A1FCC">
              <w:rPr>
                <w:rFonts w:eastAsia="Calibri" w:cs="Calibri"/>
                <w:sz w:val="20"/>
                <w:szCs w:val="20"/>
              </w:rPr>
              <w:t xml:space="preserve"> </w:t>
            </w:r>
          </w:p>
        </w:tc>
        <w:tc>
          <w:tcPr>
            <w:tcW w:w="1289" w:type="pct"/>
            <w:tcBorders>
              <w:top w:val="single" w:sz="4" w:space="0" w:color="000000"/>
              <w:left w:val="single" w:sz="4" w:space="0" w:color="000000"/>
              <w:bottom w:val="single" w:sz="4" w:space="0" w:color="000000"/>
              <w:right w:val="single" w:sz="4" w:space="0" w:color="000000"/>
            </w:tcBorders>
          </w:tcPr>
          <w:p w14:paraId="519D9E0F" w14:textId="77777777" w:rsidR="00960E6F" w:rsidRPr="001A1FCC" w:rsidRDefault="00960E6F">
            <w:pPr>
              <w:spacing w:line="259" w:lineRule="auto"/>
              <w:rPr>
                <w:sz w:val="20"/>
                <w:szCs w:val="20"/>
              </w:rPr>
            </w:pPr>
            <w:r w:rsidRPr="001A1FCC">
              <w:rPr>
                <w:sz w:val="20"/>
                <w:szCs w:val="20"/>
              </w:rPr>
              <w:t>Akkoord indien artikel 11 wordt gelezen conform de voorwaarden van Leverancier.</w:t>
            </w:r>
            <w:r w:rsidRPr="001A1FCC">
              <w:rPr>
                <w:rFonts w:eastAsia="Calibri" w:cs="Calibri"/>
                <w:sz w:val="20"/>
                <w:szCs w:val="20"/>
              </w:rPr>
              <w:t xml:space="preserve"> </w:t>
            </w:r>
            <w:r w:rsidRPr="001A1FCC">
              <w:rPr>
                <w:sz w:val="20"/>
                <w:szCs w:val="20"/>
              </w:rPr>
              <w:t>Geen wijziging zonder schriftelijke, rechtsgeldige bevestiging door beide partijen.</w:t>
            </w:r>
            <w:r w:rsidRPr="001A1FCC">
              <w:rPr>
                <w:rFonts w:eastAsia="Calibri" w:cs="Calibri"/>
                <w:sz w:val="20"/>
                <w:szCs w:val="20"/>
              </w:rPr>
              <w:t xml:space="preserve"> </w:t>
            </w:r>
          </w:p>
        </w:tc>
        <w:tc>
          <w:tcPr>
            <w:tcW w:w="1484" w:type="pct"/>
            <w:tcBorders>
              <w:top w:val="single" w:sz="4" w:space="0" w:color="000000"/>
              <w:left w:val="single" w:sz="4" w:space="0" w:color="000000"/>
              <w:bottom w:val="single" w:sz="4" w:space="0" w:color="000000"/>
              <w:right w:val="single" w:sz="4" w:space="0" w:color="000000"/>
            </w:tcBorders>
          </w:tcPr>
          <w:p w14:paraId="072A36DC" w14:textId="291D5B68" w:rsidR="00960E6F" w:rsidRPr="001A1FCC" w:rsidRDefault="00E31068">
            <w:pPr>
              <w:spacing w:line="259" w:lineRule="auto"/>
              <w:rPr>
                <w:sz w:val="20"/>
                <w:szCs w:val="20"/>
              </w:rPr>
            </w:pPr>
            <w:r w:rsidRPr="001A1FCC">
              <w:rPr>
                <w:sz w:val="20"/>
                <w:szCs w:val="20"/>
              </w:rPr>
              <w:t>Opdrachtgever stemt in</w:t>
            </w:r>
            <w:r w:rsidR="00DB2015" w:rsidRPr="001A1FCC">
              <w:rPr>
                <w:sz w:val="20"/>
                <w:szCs w:val="20"/>
              </w:rPr>
              <w:t xml:space="preserve"> met de voorgestelde harmonisatie</w:t>
            </w:r>
            <w:r w:rsidR="00DB2015" w:rsidRPr="001A1FCC">
              <w:rPr>
                <w:color w:val="EE0000"/>
                <w:sz w:val="20"/>
                <w:szCs w:val="20"/>
              </w:rPr>
              <w:t>.</w:t>
            </w:r>
          </w:p>
        </w:tc>
      </w:tr>
      <w:tr w:rsidR="00960E6F" w:rsidRPr="001A1FCC" w14:paraId="25D940FF" w14:textId="650025CF" w:rsidTr="00745FF8">
        <w:trPr>
          <w:trHeight w:val="3527"/>
        </w:trPr>
        <w:tc>
          <w:tcPr>
            <w:tcW w:w="184" w:type="pct"/>
            <w:tcBorders>
              <w:top w:val="single" w:sz="4" w:space="0" w:color="000000"/>
              <w:left w:val="single" w:sz="4" w:space="0" w:color="000000"/>
              <w:bottom w:val="single" w:sz="4" w:space="0" w:color="000000"/>
              <w:right w:val="single" w:sz="4" w:space="0" w:color="000000"/>
            </w:tcBorders>
          </w:tcPr>
          <w:p w14:paraId="04462DD0" w14:textId="77777777" w:rsidR="00960E6F" w:rsidRPr="001A1FCC" w:rsidRDefault="00960E6F">
            <w:pPr>
              <w:spacing w:line="259" w:lineRule="auto"/>
              <w:rPr>
                <w:sz w:val="20"/>
                <w:szCs w:val="20"/>
              </w:rPr>
            </w:pPr>
            <w:r w:rsidRPr="001A1FCC">
              <w:rPr>
                <w:sz w:val="20"/>
                <w:szCs w:val="20"/>
              </w:rPr>
              <w:t>11</w:t>
            </w:r>
            <w:r w:rsidRPr="001A1FCC">
              <w:rPr>
                <w:rFonts w:eastAsia="Calibri" w:cs="Calibri"/>
                <w:sz w:val="20"/>
                <w:szCs w:val="20"/>
              </w:rPr>
              <w:t xml:space="preserve"> </w:t>
            </w:r>
          </w:p>
        </w:tc>
        <w:tc>
          <w:tcPr>
            <w:tcW w:w="695" w:type="pct"/>
            <w:tcBorders>
              <w:top w:val="single" w:sz="4" w:space="0" w:color="000000"/>
              <w:left w:val="single" w:sz="4" w:space="0" w:color="000000"/>
              <w:bottom w:val="single" w:sz="4" w:space="0" w:color="000000"/>
              <w:right w:val="single" w:sz="4" w:space="0" w:color="000000"/>
            </w:tcBorders>
          </w:tcPr>
          <w:p w14:paraId="135842D5" w14:textId="77777777" w:rsidR="00960E6F" w:rsidRPr="001A1FCC" w:rsidRDefault="00960E6F">
            <w:pPr>
              <w:spacing w:line="259" w:lineRule="auto"/>
              <w:rPr>
                <w:sz w:val="20"/>
                <w:szCs w:val="20"/>
              </w:rPr>
            </w:pPr>
            <w:r w:rsidRPr="001A1FCC">
              <w:rPr>
                <w:sz w:val="20"/>
                <w:szCs w:val="20"/>
              </w:rPr>
              <w:t>Art. 13.1 – fatale termijnen / verzuim van rechtswege</w:t>
            </w:r>
            <w:r w:rsidRPr="001A1FCC">
              <w:rPr>
                <w:rFonts w:eastAsia="Calibri" w:cs="Calibri"/>
                <w:sz w:val="20"/>
                <w:szCs w:val="20"/>
              </w:rPr>
              <w:t xml:space="preserve"> </w:t>
            </w:r>
          </w:p>
        </w:tc>
        <w:tc>
          <w:tcPr>
            <w:tcW w:w="1348" w:type="pct"/>
            <w:tcBorders>
              <w:top w:val="single" w:sz="4" w:space="0" w:color="000000"/>
              <w:left w:val="single" w:sz="4" w:space="0" w:color="000000"/>
              <w:bottom w:val="single" w:sz="4" w:space="0" w:color="000000"/>
              <w:right w:val="single" w:sz="4" w:space="0" w:color="000000"/>
            </w:tcBorders>
          </w:tcPr>
          <w:p w14:paraId="3C0896AF" w14:textId="77777777" w:rsidR="00960E6F" w:rsidRPr="001A1FCC" w:rsidRDefault="00960E6F">
            <w:pPr>
              <w:spacing w:line="259" w:lineRule="auto"/>
              <w:ind w:right="32"/>
              <w:rPr>
                <w:sz w:val="20"/>
                <w:szCs w:val="20"/>
              </w:rPr>
            </w:pPr>
            <w:r w:rsidRPr="001A1FCC">
              <w:rPr>
                <w:sz w:val="20"/>
                <w:szCs w:val="20"/>
              </w:rPr>
              <w:t>AD bepaalt dat Leverancier van rechtswege in verzuim is na het verstrijken van fatale termijnen. Voor energielevering zijn start, switch, allocatiepunt, systeembeheerder en meetprocessen mede afhankelijk van derden en wettelijke marktprocessen.</w:t>
            </w:r>
            <w:r w:rsidRPr="001A1FCC">
              <w:rPr>
                <w:rFonts w:eastAsia="Calibri" w:cs="Calibri"/>
                <w:sz w:val="20"/>
                <w:szCs w:val="20"/>
              </w:rPr>
              <w:t xml:space="preserve"> </w:t>
            </w:r>
          </w:p>
        </w:tc>
        <w:tc>
          <w:tcPr>
            <w:tcW w:w="1289" w:type="pct"/>
            <w:tcBorders>
              <w:top w:val="single" w:sz="4" w:space="0" w:color="000000"/>
              <w:left w:val="single" w:sz="4" w:space="0" w:color="000000"/>
              <w:bottom w:val="single" w:sz="4" w:space="0" w:color="000000"/>
              <w:right w:val="single" w:sz="4" w:space="0" w:color="000000"/>
            </w:tcBorders>
          </w:tcPr>
          <w:p w14:paraId="30897EFB" w14:textId="77777777" w:rsidR="00960E6F" w:rsidRPr="001A1FCC" w:rsidRDefault="00960E6F">
            <w:pPr>
              <w:spacing w:line="259" w:lineRule="auto"/>
              <w:ind w:right="22"/>
              <w:rPr>
                <w:sz w:val="20"/>
                <w:szCs w:val="20"/>
              </w:rPr>
            </w:pPr>
            <w:r w:rsidRPr="001A1FCC">
              <w:rPr>
                <w:sz w:val="20"/>
                <w:szCs w:val="20"/>
              </w:rPr>
              <w:t>Niet van toepassing voor zover termijnen als fataal gelden buiten de invloedssfeer van Leverancier.</w:t>
            </w:r>
            <w:r w:rsidRPr="001A1FCC">
              <w:rPr>
                <w:rFonts w:eastAsia="Calibri" w:cs="Calibri"/>
                <w:sz w:val="20"/>
                <w:szCs w:val="20"/>
              </w:rPr>
              <w:t xml:space="preserve"> </w:t>
            </w:r>
            <w:r w:rsidRPr="001A1FCC">
              <w:rPr>
                <w:sz w:val="20"/>
                <w:szCs w:val="20"/>
              </w:rPr>
              <w:t>Fatale termijnen gelden niet bij afhankelijkheden van AD, systeembeheerder, meetverantwoordelijke, marktprocessen, vergunningen, onjuiste gegevens of overmacht.</w:t>
            </w:r>
            <w:r w:rsidRPr="001A1FCC">
              <w:rPr>
                <w:rFonts w:eastAsia="Calibri" w:cs="Calibri"/>
                <w:sz w:val="20"/>
                <w:szCs w:val="20"/>
              </w:rPr>
              <w:t xml:space="preserve"> </w:t>
            </w:r>
          </w:p>
        </w:tc>
        <w:tc>
          <w:tcPr>
            <w:tcW w:w="1484" w:type="pct"/>
            <w:tcBorders>
              <w:top w:val="single" w:sz="4" w:space="0" w:color="000000"/>
              <w:left w:val="single" w:sz="4" w:space="0" w:color="000000"/>
              <w:bottom w:val="single" w:sz="4" w:space="0" w:color="000000"/>
              <w:right w:val="single" w:sz="4" w:space="0" w:color="000000"/>
            </w:tcBorders>
          </w:tcPr>
          <w:p w14:paraId="51B75C40" w14:textId="3E85C8E2" w:rsidR="00960E6F" w:rsidRPr="001A1FCC" w:rsidRDefault="003E08CF">
            <w:pPr>
              <w:spacing w:line="259" w:lineRule="auto"/>
              <w:ind w:right="22"/>
              <w:rPr>
                <w:sz w:val="20"/>
                <w:szCs w:val="20"/>
              </w:rPr>
            </w:pPr>
            <w:r w:rsidRPr="001A1FCC">
              <w:rPr>
                <w:sz w:val="20"/>
                <w:szCs w:val="20"/>
              </w:rPr>
              <w:t>Opdrachtgever begrijpt</w:t>
            </w:r>
            <w:r w:rsidR="005B3196" w:rsidRPr="001A1FCC">
              <w:rPr>
                <w:sz w:val="20"/>
                <w:szCs w:val="20"/>
              </w:rPr>
              <w:t xml:space="preserve"> dat Leverancier bij energieprocessen afhankelijk is van derden zoals systeembeheerders en processen die buiten zijn invloedssfeer liggen, en zijn daarom bereid te aanvaarden dat fatale termijnen niet gelden in gevallen waarin vertraging aantoonbaar het gevolg is van </w:t>
            </w:r>
            <w:r w:rsidRPr="001A1FCC">
              <w:rPr>
                <w:sz w:val="20"/>
                <w:szCs w:val="20"/>
              </w:rPr>
              <w:t>genoemde</w:t>
            </w:r>
            <w:r w:rsidR="005B3196" w:rsidRPr="001A1FCC">
              <w:rPr>
                <w:sz w:val="20"/>
                <w:szCs w:val="20"/>
              </w:rPr>
              <w:t xml:space="preserve"> externe afhankelijkheden. Wij houden er echter aan vast dat Leverancier voor vertragingen die wél binnen zijn invloedssfeer liggen van rechtswege in verzuim is zonder dat een nadere ingebrekestelling vereist is.</w:t>
            </w:r>
          </w:p>
        </w:tc>
      </w:tr>
      <w:tr w:rsidR="00C20CDA" w:rsidRPr="001A1FCC" w14:paraId="7373923E" w14:textId="77777777" w:rsidTr="00745FF8">
        <w:trPr>
          <w:trHeight w:val="3527"/>
        </w:trPr>
        <w:tc>
          <w:tcPr>
            <w:tcW w:w="184" w:type="pct"/>
            <w:tcBorders>
              <w:top w:val="single" w:sz="4" w:space="0" w:color="000000"/>
              <w:left w:val="single" w:sz="4" w:space="0" w:color="000000"/>
              <w:bottom w:val="single" w:sz="4" w:space="0" w:color="000000"/>
              <w:right w:val="single" w:sz="4" w:space="0" w:color="000000"/>
            </w:tcBorders>
          </w:tcPr>
          <w:p w14:paraId="0DB08BB0" w14:textId="33C1C8D0" w:rsidR="00C20CDA" w:rsidRPr="001A1FCC" w:rsidRDefault="00C20CDA" w:rsidP="00C20CDA">
            <w:pPr>
              <w:spacing w:line="259" w:lineRule="auto"/>
              <w:rPr>
                <w:sz w:val="20"/>
                <w:szCs w:val="20"/>
              </w:rPr>
            </w:pPr>
            <w:r w:rsidRPr="001A1FCC">
              <w:rPr>
                <w:sz w:val="20"/>
                <w:szCs w:val="20"/>
              </w:rPr>
              <w:lastRenderedPageBreak/>
              <w:t>12</w:t>
            </w:r>
          </w:p>
        </w:tc>
        <w:tc>
          <w:tcPr>
            <w:tcW w:w="695" w:type="pct"/>
            <w:tcBorders>
              <w:top w:val="single" w:sz="4" w:space="0" w:color="000000"/>
              <w:left w:val="single" w:sz="4" w:space="0" w:color="000000"/>
              <w:bottom w:val="single" w:sz="4" w:space="0" w:color="000000"/>
              <w:right w:val="single" w:sz="4" w:space="0" w:color="000000"/>
            </w:tcBorders>
          </w:tcPr>
          <w:p w14:paraId="48EB9E2D" w14:textId="51DACA26" w:rsidR="00C20CDA" w:rsidRPr="001A1FCC" w:rsidRDefault="00C20CDA" w:rsidP="00C20CDA">
            <w:pPr>
              <w:spacing w:line="259" w:lineRule="auto"/>
              <w:rPr>
                <w:sz w:val="20"/>
                <w:szCs w:val="20"/>
              </w:rPr>
            </w:pPr>
            <w:r w:rsidRPr="001A1FCC">
              <w:rPr>
                <w:sz w:val="20"/>
                <w:szCs w:val="20"/>
              </w:rPr>
              <w:t xml:space="preserve">Art. 15 – overmacht / </w:t>
            </w:r>
            <w:proofErr w:type="spellStart"/>
            <w:r w:rsidRPr="001A1FCC">
              <w:rPr>
                <w:sz w:val="20"/>
                <w:szCs w:val="20"/>
              </w:rPr>
              <w:t>niettoerekenbare</w:t>
            </w:r>
            <w:proofErr w:type="spellEnd"/>
            <w:r w:rsidRPr="001A1FCC">
              <w:rPr>
                <w:sz w:val="20"/>
                <w:szCs w:val="20"/>
              </w:rPr>
              <w:t xml:space="preserve"> tekortkoming zeer beperkt</w:t>
            </w:r>
            <w:r w:rsidRPr="001A1FCC">
              <w:rPr>
                <w:rFonts w:eastAsia="Calibri" w:cs="Calibri"/>
                <w:sz w:val="20"/>
                <w:szCs w:val="20"/>
              </w:rPr>
              <w:t xml:space="preserve"> </w:t>
            </w:r>
          </w:p>
        </w:tc>
        <w:tc>
          <w:tcPr>
            <w:tcW w:w="1348" w:type="pct"/>
            <w:tcBorders>
              <w:top w:val="single" w:sz="4" w:space="0" w:color="000000"/>
              <w:left w:val="single" w:sz="4" w:space="0" w:color="000000"/>
              <w:bottom w:val="single" w:sz="4" w:space="0" w:color="000000"/>
              <w:right w:val="single" w:sz="4" w:space="0" w:color="000000"/>
            </w:tcBorders>
          </w:tcPr>
          <w:p w14:paraId="6D1CED63" w14:textId="77777777" w:rsidR="00C20CDA" w:rsidRPr="001A1FCC" w:rsidRDefault="00C20CDA" w:rsidP="00C20CDA">
            <w:pPr>
              <w:ind w:right="17"/>
              <w:rPr>
                <w:sz w:val="20"/>
                <w:szCs w:val="20"/>
              </w:rPr>
            </w:pPr>
            <w:r w:rsidRPr="001A1FCC">
              <w:rPr>
                <w:sz w:val="20"/>
                <w:szCs w:val="20"/>
              </w:rPr>
              <w:t>AD sluit onder meer ziekte personeel, gebrek aan personeel, stakingen, grondstoffentekort, transportproblemen, tekortkoming van toeleveranciers, productiestoringen en liquiditeits-</w:t>
            </w:r>
          </w:p>
          <w:p w14:paraId="09CBE009" w14:textId="77777777" w:rsidR="00C20CDA" w:rsidRPr="001A1FCC" w:rsidRDefault="00C20CDA" w:rsidP="00C20CDA">
            <w:pPr>
              <w:rPr>
                <w:sz w:val="20"/>
                <w:szCs w:val="20"/>
              </w:rPr>
            </w:pPr>
            <w:r w:rsidRPr="001A1FCC">
              <w:rPr>
                <w:sz w:val="20"/>
                <w:szCs w:val="20"/>
              </w:rPr>
              <w:t xml:space="preserve">/solvabiliteitsproblemen uit als niet-toerekenbare tekortkoming. Voor energielevering is dit te beperkt, omdat storingen, marktverstoringen, systeemproblemen, </w:t>
            </w:r>
          </w:p>
          <w:p w14:paraId="122009E1" w14:textId="6D5E707D" w:rsidR="00C20CDA" w:rsidRPr="001A1FCC" w:rsidRDefault="00C20CDA" w:rsidP="00C20CDA">
            <w:pPr>
              <w:spacing w:line="259" w:lineRule="auto"/>
              <w:ind w:right="32"/>
              <w:rPr>
                <w:sz w:val="20"/>
                <w:szCs w:val="20"/>
              </w:rPr>
            </w:pPr>
            <w:r w:rsidRPr="001A1FCC">
              <w:rPr>
                <w:sz w:val="20"/>
                <w:szCs w:val="20"/>
              </w:rPr>
              <w:t>cyberaanvallen, maatregelen van autoriteiten, stakingen, toeleveranciersproblemen en commercieel onredelijke omstandigheden relevant kunnen zijn.</w:t>
            </w:r>
          </w:p>
        </w:tc>
        <w:tc>
          <w:tcPr>
            <w:tcW w:w="1289" w:type="pct"/>
            <w:tcBorders>
              <w:top w:val="single" w:sz="4" w:space="0" w:color="000000"/>
              <w:left w:val="single" w:sz="4" w:space="0" w:color="000000"/>
              <w:bottom w:val="single" w:sz="4" w:space="0" w:color="000000"/>
              <w:right w:val="single" w:sz="4" w:space="0" w:color="000000"/>
            </w:tcBorders>
          </w:tcPr>
          <w:p w14:paraId="7227B4EF" w14:textId="170699A5" w:rsidR="00C20CDA" w:rsidRPr="001A1FCC" w:rsidRDefault="00C20CDA" w:rsidP="00C20CDA">
            <w:pPr>
              <w:spacing w:line="259" w:lineRule="auto"/>
              <w:ind w:right="22"/>
              <w:rPr>
                <w:sz w:val="20"/>
                <w:szCs w:val="20"/>
              </w:rPr>
            </w:pPr>
            <w:r w:rsidRPr="001A1FCC">
              <w:rPr>
                <w:sz w:val="20"/>
                <w:szCs w:val="20"/>
              </w:rPr>
              <w:t>Leverancier gaat niet akkoord met artikel 15.2.</w:t>
            </w:r>
            <w:r w:rsidRPr="001A1FCC">
              <w:rPr>
                <w:rFonts w:eastAsia="Calibri" w:cs="Calibri"/>
                <w:sz w:val="20"/>
                <w:szCs w:val="20"/>
              </w:rPr>
              <w:t xml:space="preserve"> </w:t>
            </w:r>
            <w:r w:rsidRPr="001A1FCC">
              <w:rPr>
                <w:sz w:val="20"/>
                <w:szCs w:val="20"/>
              </w:rPr>
              <w:t xml:space="preserve">Overmacht moet worden uitgelegd conform de voorwaarden van Leverancier en omvat onder meer systeem/marktverstoringen, cyberincidenten, maatregelen van autoriteiten, stakingen, onbeschikbaarheid of niet-nakoming van toeleveranciers en commercieel onredelijke </w:t>
            </w:r>
            <w:proofErr w:type="spellStart"/>
            <w:r w:rsidRPr="001A1FCC">
              <w:rPr>
                <w:sz w:val="20"/>
                <w:szCs w:val="20"/>
              </w:rPr>
              <w:t>energieinkoop</w:t>
            </w:r>
            <w:proofErr w:type="spellEnd"/>
            <w:r w:rsidRPr="001A1FCC">
              <w:rPr>
                <w:sz w:val="20"/>
                <w:szCs w:val="20"/>
              </w:rPr>
              <w:t xml:space="preserve"> of levering.</w:t>
            </w:r>
          </w:p>
        </w:tc>
        <w:tc>
          <w:tcPr>
            <w:tcW w:w="1484" w:type="pct"/>
            <w:tcBorders>
              <w:top w:val="single" w:sz="4" w:space="0" w:color="000000"/>
              <w:left w:val="single" w:sz="4" w:space="0" w:color="000000"/>
              <w:bottom w:val="single" w:sz="4" w:space="0" w:color="000000"/>
              <w:right w:val="single" w:sz="4" w:space="0" w:color="000000"/>
            </w:tcBorders>
          </w:tcPr>
          <w:p w14:paraId="78551780" w14:textId="32D11D6D" w:rsidR="00C20CDA" w:rsidRPr="001A1FCC" w:rsidRDefault="003E08CF" w:rsidP="00C20CDA">
            <w:pPr>
              <w:spacing w:line="259" w:lineRule="auto"/>
              <w:ind w:right="22"/>
              <w:rPr>
                <w:b/>
                <w:bCs/>
                <w:color w:val="EE0000"/>
                <w:sz w:val="20"/>
                <w:szCs w:val="20"/>
              </w:rPr>
            </w:pPr>
            <w:r w:rsidRPr="001A1FCC">
              <w:rPr>
                <w:color w:val="000000" w:themeColor="text1"/>
                <w:sz w:val="20"/>
                <w:szCs w:val="20"/>
              </w:rPr>
              <w:t>Opdrachtgever</w:t>
            </w:r>
            <w:r w:rsidR="003240A7" w:rsidRPr="001A1FCC">
              <w:rPr>
                <w:color w:val="000000" w:themeColor="text1"/>
                <w:sz w:val="20"/>
                <w:szCs w:val="20"/>
              </w:rPr>
              <w:t xml:space="preserve"> houd</w:t>
            </w:r>
            <w:r w:rsidRPr="001A1FCC">
              <w:rPr>
                <w:color w:val="000000" w:themeColor="text1"/>
                <w:sz w:val="20"/>
                <w:szCs w:val="20"/>
              </w:rPr>
              <w:t>t</w:t>
            </w:r>
            <w:r w:rsidR="003240A7" w:rsidRPr="001A1FCC">
              <w:rPr>
                <w:color w:val="000000" w:themeColor="text1"/>
                <w:sz w:val="20"/>
                <w:szCs w:val="20"/>
              </w:rPr>
              <w:t xml:space="preserve"> vast aan artikel 15.2 en wijzen het voorstel van Leverancier af, omdat een ruime overmachtsdefinitie die ook stakingen, toeleveranciersproblemen en commercieel onredelijke omstandigheden omvat de leveringszekerheid waarop AD moet kunnen rekenen volledig uitholt. De door Leverancier genoemde omstandigheden zijn in de energiesector voorzienbare bedrijfsrisico's waartegen Leverancier zich dient in te dekken, en kunnen niet eenzijdig als overmacht worden aangemerkt.</w:t>
            </w:r>
            <w:r w:rsidR="00466DE5" w:rsidRPr="001A1FCC">
              <w:rPr>
                <w:color w:val="000000" w:themeColor="text1"/>
                <w:sz w:val="20"/>
                <w:szCs w:val="20"/>
              </w:rPr>
              <w:t xml:space="preserve"> </w:t>
            </w:r>
          </w:p>
        </w:tc>
      </w:tr>
      <w:tr w:rsidR="0024639A" w:rsidRPr="001A1FCC" w14:paraId="5A4C08CC" w14:textId="77777777" w:rsidTr="00D06536">
        <w:trPr>
          <w:trHeight w:val="3010"/>
        </w:trPr>
        <w:tc>
          <w:tcPr>
            <w:tcW w:w="184" w:type="pct"/>
            <w:tcBorders>
              <w:top w:val="single" w:sz="4" w:space="0" w:color="000000"/>
              <w:left w:val="single" w:sz="4" w:space="0" w:color="000000"/>
              <w:bottom w:val="single" w:sz="4" w:space="0" w:color="000000"/>
              <w:right w:val="single" w:sz="4" w:space="0" w:color="000000"/>
            </w:tcBorders>
          </w:tcPr>
          <w:p w14:paraId="2AA3A9A2" w14:textId="0601A009" w:rsidR="0024639A" w:rsidRPr="001A1FCC" w:rsidRDefault="0024639A" w:rsidP="0024639A">
            <w:pPr>
              <w:spacing w:line="259" w:lineRule="auto"/>
              <w:rPr>
                <w:sz w:val="20"/>
                <w:szCs w:val="20"/>
              </w:rPr>
            </w:pPr>
            <w:r w:rsidRPr="001A1FCC">
              <w:rPr>
                <w:sz w:val="20"/>
                <w:szCs w:val="20"/>
              </w:rPr>
              <w:t>13</w:t>
            </w:r>
          </w:p>
        </w:tc>
        <w:tc>
          <w:tcPr>
            <w:tcW w:w="695" w:type="pct"/>
            <w:tcBorders>
              <w:top w:val="single" w:sz="4" w:space="0" w:color="000000"/>
              <w:left w:val="single" w:sz="4" w:space="0" w:color="000000"/>
              <w:bottom w:val="single" w:sz="4" w:space="0" w:color="000000"/>
              <w:right w:val="single" w:sz="4" w:space="0" w:color="000000"/>
            </w:tcBorders>
          </w:tcPr>
          <w:p w14:paraId="63AF69F5" w14:textId="7EB1FECC" w:rsidR="0024639A" w:rsidRPr="001A1FCC" w:rsidRDefault="0024639A" w:rsidP="0024639A">
            <w:pPr>
              <w:spacing w:line="259" w:lineRule="auto"/>
              <w:rPr>
                <w:sz w:val="20"/>
                <w:szCs w:val="20"/>
              </w:rPr>
            </w:pPr>
            <w:r w:rsidRPr="001A1FCC">
              <w:rPr>
                <w:sz w:val="20"/>
                <w:szCs w:val="20"/>
              </w:rPr>
              <w:t>Art. 15.4 en 28.1 – ontbinding bij overmacht na korte termijn</w:t>
            </w:r>
          </w:p>
        </w:tc>
        <w:tc>
          <w:tcPr>
            <w:tcW w:w="1348" w:type="pct"/>
            <w:tcBorders>
              <w:top w:val="single" w:sz="4" w:space="0" w:color="000000"/>
              <w:left w:val="single" w:sz="4" w:space="0" w:color="000000"/>
              <w:bottom w:val="single" w:sz="4" w:space="0" w:color="000000"/>
              <w:right w:val="single" w:sz="4" w:space="0" w:color="000000"/>
            </w:tcBorders>
          </w:tcPr>
          <w:p w14:paraId="6F8CBE08" w14:textId="77777777" w:rsidR="0024639A" w:rsidRPr="001A1FCC" w:rsidRDefault="0024639A" w:rsidP="0024639A">
            <w:pPr>
              <w:spacing w:line="241" w:lineRule="auto"/>
              <w:rPr>
                <w:sz w:val="20"/>
                <w:szCs w:val="20"/>
              </w:rPr>
            </w:pPr>
            <w:r w:rsidRPr="001A1FCC">
              <w:rPr>
                <w:sz w:val="20"/>
                <w:szCs w:val="20"/>
              </w:rPr>
              <w:t xml:space="preserve">AD kan bij niet-toerekenbare tekortkoming na </w:t>
            </w:r>
          </w:p>
          <w:p w14:paraId="5B80BCD9" w14:textId="05632BDA" w:rsidR="0024639A" w:rsidRPr="001A1FCC" w:rsidRDefault="0024639A" w:rsidP="0024639A">
            <w:pPr>
              <w:ind w:right="17"/>
              <w:rPr>
                <w:sz w:val="20"/>
                <w:szCs w:val="20"/>
              </w:rPr>
            </w:pPr>
            <w:r w:rsidRPr="001A1FCC">
              <w:rPr>
                <w:sz w:val="20"/>
                <w:szCs w:val="20"/>
              </w:rPr>
              <w:t>overleg/opschorting ontbinden, en artikel 28.1 noemt ontbinding bij overmacht langer dan tien dagen. Dit is te kort en ongeschikt voor energiecontracten, waarin verstoringen door markt- of systeemomstandigheden langer kunnen duren.</w:t>
            </w:r>
            <w:r w:rsidRPr="001A1FCC">
              <w:rPr>
                <w:rFonts w:eastAsia="Calibri" w:cs="Calibri"/>
                <w:sz w:val="20"/>
                <w:szCs w:val="20"/>
              </w:rPr>
              <w:t xml:space="preserve"> </w:t>
            </w:r>
          </w:p>
        </w:tc>
        <w:tc>
          <w:tcPr>
            <w:tcW w:w="1289" w:type="pct"/>
            <w:tcBorders>
              <w:top w:val="single" w:sz="4" w:space="0" w:color="000000"/>
              <w:left w:val="single" w:sz="4" w:space="0" w:color="000000"/>
              <w:bottom w:val="single" w:sz="4" w:space="0" w:color="000000"/>
              <w:right w:val="single" w:sz="4" w:space="0" w:color="000000"/>
            </w:tcBorders>
          </w:tcPr>
          <w:p w14:paraId="7B01CF92" w14:textId="77777777" w:rsidR="0024639A" w:rsidRPr="001A1FCC" w:rsidRDefault="0024639A" w:rsidP="0024639A">
            <w:pPr>
              <w:rPr>
                <w:sz w:val="20"/>
                <w:szCs w:val="20"/>
              </w:rPr>
            </w:pPr>
            <w:r w:rsidRPr="001A1FCC">
              <w:rPr>
                <w:sz w:val="20"/>
                <w:szCs w:val="20"/>
              </w:rPr>
              <w:t>Leverancier gaat niet akkoord met artikelen 15.4 en 28.1 voor zover deze ontbinding na tien dagen of zonder bescherming van Leverancier mogelijk maken.</w:t>
            </w:r>
            <w:r w:rsidRPr="001A1FCC">
              <w:rPr>
                <w:rFonts w:eastAsia="Calibri" w:cs="Calibri"/>
                <w:sz w:val="20"/>
                <w:szCs w:val="20"/>
              </w:rPr>
              <w:t xml:space="preserve"> </w:t>
            </w:r>
            <w:r w:rsidRPr="001A1FCC">
              <w:rPr>
                <w:sz w:val="20"/>
                <w:szCs w:val="20"/>
              </w:rPr>
              <w:t xml:space="preserve">Ontbinding pas na de termijn en onder de voorwaarden zoals opgenomen in de voorwaarden van </w:t>
            </w:r>
          </w:p>
          <w:p w14:paraId="74D9B515" w14:textId="0F8507F5" w:rsidR="0024639A" w:rsidRPr="001A1FCC" w:rsidRDefault="0024639A" w:rsidP="0024639A">
            <w:pPr>
              <w:spacing w:line="259" w:lineRule="auto"/>
              <w:ind w:right="22"/>
              <w:rPr>
                <w:sz w:val="20"/>
                <w:szCs w:val="20"/>
              </w:rPr>
            </w:pPr>
            <w:r w:rsidRPr="001A1FCC">
              <w:rPr>
                <w:sz w:val="20"/>
                <w:szCs w:val="20"/>
              </w:rPr>
              <w:t>Leverancier, alleen voor het niet-uitvoerbare gedeelte en na betaling van reeds verschuldigde bedragen.</w:t>
            </w:r>
          </w:p>
        </w:tc>
        <w:tc>
          <w:tcPr>
            <w:tcW w:w="1484" w:type="pct"/>
            <w:tcBorders>
              <w:top w:val="single" w:sz="4" w:space="0" w:color="000000"/>
              <w:left w:val="single" w:sz="4" w:space="0" w:color="000000"/>
              <w:bottom w:val="single" w:sz="4" w:space="0" w:color="000000"/>
              <w:right w:val="single" w:sz="4" w:space="0" w:color="000000"/>
            </w:tcBorders>
          </w:tcPr>
          <w:p w14:paraId="5F04E82E" w14:textId="6504D8CE" w:rsidR="0024639A" w:rsidRPr="001A1FCC" w:rsidRDefault="00D71119" w:rsidP="0024639A">
            <w:pPr>
              <w:spacing w:line="259" w:lineRule="auto"/>
              <w:ind w:right="22"/>
              <w:rPr>
                <w:color w:val="000000" w:themeColor="text1"/>
                <w:sz w:val="20"/>
                <w:szCs w:val="20"/>
              </w:rPr>
            </w:pPr>
            <w:r w:rsidRPr="001A1FCC">
              <w:rPr>
                <w:color w:val="000000" w:themeColor="text1"/>
                <w:sz w:val="20"/>
                <w:szCs w:val="20"/>
              </w:rPr>
              <w:t>Opdrachtgever</w:t>
            </w:r>
            <w:r w:rsidR="00811EF1" w:rsidRPr="001A1FCC">
              <w:rPr>
                <w:color w:val="000000" w:themeColor="text1"/>
                <w:sz w:val="20"/>
                <w:szCs w:val="20"/>
              </w:rPr>
              <w:t xml:space="preserve"> houd</w:t>
            </w:r>
            <w:r w:rsidR="00745FF8" w:rsidRPr="001A1FCC">
              <w:rPr>
                <w:color w:val="000000" w:themeColor="text1"/>
                <w:sz w:val="20"/>
                <w:szCs w:val="20"/>
              </w:rPr>
              <w:t>t</w:t>
            </w:r>
            <w:r w:rsidR="00811EF1" w:rsidRPr="001A1FCC">
              <w:rPr>
                <w:color w:val="000000" w:themeColor="text1"/>
                <w:sz w:val="20"/>
                <w:szCs w:val="20"/>
              </w:rPr>
              <w:t xml:space="preserve"> vast aan de termijn van tien dagen zoals opgenomen in artikelen 15.4 en 28.1, maar zijn bereid te aanvaarden dat ontbinding uitsluitend betrekking heeft op het gedeelte van de overeenkomst dat aantoonbaar niet uitvoerbaar is en dat reeds verschuldigde bedragen voorafgaand aan ontbinding worden voldaan. Een langere overmachtstermijn is voor ons niet bespreekbaar gezien het belang van leveringszekerheid.</w:t>
            </w:r>
          </w:p>
        </w:tc>
      </w:tr>
    </w:tbl>
    <w:p w14:paraId="03A05DB8" w14:textId="77777777" w:rsidR="0084754A" w:rsidRPr="001A1FCC" w:rsidRDefault="0084754A">
      <w:pPr>
        <w:rPr>
          <w:sz w:val="20"/>
          <w:szCs w:val="20"/>
        </w:rPr>
      </w:pPr>
      <w:r w:rsidRPr="001A1FCC">
        <w:rPr>
          <w:sz w:val="20"/>
          <w:szCs w:val="20"/>
        </w:rPr>
        <w:br w:type="page"/>
      </w:r>
    </w:p>
    <w:tbl>
      <w:tblPr>
        <w:tblStyle w:val="TableGrid"/>
        <w:tblW w:w="5000" w:type="pct"/>
        <w:tblInd w:w="0" w:type="dxa"/>
        <w:tblCellMar>
          <w:top w:w="5" w:type="dxa"/>
          <w:left w:w="108" w:type="dxa"/>
          <w:right w:w="69" w:type="dxa"/>
        </w:tblCellMar>
        <w:tblLook w:val="04A0" w:firstRow="1" w:lastRow="0" w:firstColumn="1" w:lastColumn="0" w:noHBand="0" w:noVBand="1"/>
      </w:tblPr>
      <w:tblGrid>
        <w:gridCol w:w="681"/>
        <w:gridCol w:w="2345"/>
        <w:gridCol w:w="3207"/>
        <w:gridCol w:w="3826"/>
        <w:gridCol w:w="3935"/>
      </w:tblGrid>
      <w:tr w:rsidR="00811EF1" w:rsidRPr="001A1FCC" w14:paraId="165BB3F9" w14:textId="77777777" w:rsidTr="00D06536">
        <w:trPr>
          <w:trHeight w:val="3241"/>
        </w:trPr>
        <w:tc>
          <w:tcPr>
            <w:tcW w:w="243" w:type="pct"/>
            <w:tcBorders>
              <w:top w:val="single" w:sz="4" w:space="0" w:color="000000"/>
              <w:left w:val="single" w:sz="4" w:space="0" w:color="000000"/>
              <w:bottom w:val="single" w:sz="4" w:space="0" w:color="000000"/>
              <w:right w:val="single" w:sz="4" w:space="0" w:color="000000"/>
            </w:tcBorders>
          </w:tcPr>
          <w:p w14:paraId="15D3B52A" w14:textId="6AB02C4C" w:rsidR="00811EF1" w:rsidRPr="001A1FCC" w:rsidRDefault="00811EF1" w:rsidP="00811EF1">
            <w:pPr>
              <w:spacing w:line="259" w:lineRule="auto"/>
              <w:rPr>
                <w:sz w:val="20"/>
                <w:szCs w:val="20"/>
              </w:rPr>
            </w:pPr>
            <w:r w:rsidRPr="001A1FCC">
              <w:rPr>
                <w:sz w:val="20"/>
                <w:szCs w:val="20"/>
              </w:rPr>
              <w:lastRenderedPageBreak/>
              <w:t>14</w:t>
            </w:r>
          </w:p>
        </w:tc>
        <w:tc>
          <w:tcPr>
            <w:tcW w:w="838" w:type="pct"/>
            <w:tcBorders>
              <w:top w:val="single" w:sz="4" w:space="0" w:color="000000"/>
              <w:left w:val="single" w:sz="4" w:space="0" w:color="000000"/>
              <w:bottom w:val="single" w:sz="4" w:space="0" w:color="000000"/>
              <w:right w:val="single" w:sz="4" w:space="0" w:color="000000"/>
            </w:tcBorders>
          </w:tcPr>
          <w:p w14:paraId="75D9B936" w14:textId="2DE9D6E3" w:rsidR="00811EF1" w:rsidRPr="001A1FCC" w:rsidRDefault="00811EF1" w:rsidP="00811EF1">
            <w:pPr>
              <w:spacing w:line="259" w:lineRule="auto"/>
              <w:rPr>
                <w:sz w:val="20"/>
                <w:szCs w:val="20"/>
              </w:rPr>
            </w:pPr>
            <w:r w:rsidRPr="001A1FCC">
              <w:rPr>
                <w:sz w:val="20"/>
                <w:szCs w:val="20"/>
              </w:rPr>
              <w:t xml:space="preserve">Art. 16.1 – aansprakelijkheid </w:t>
            </w:r>
            <w:proofErr w:type="spellStart"/>
            <w:r w:rsidRPr="001A1FCC">
              <w:rPr>
                <w:sz w:val="20"/>
                <w:szCs w:val="20"/>
              </w:rPr>
              <w:t>slimieten</w:t>
            </w:r>
            <w:proofErr w:type="spellEnd"/>
            <w:r w:rsidRPr="001A1FCC">
              <w:rPr>
                <w:sz w:val="20"/>
                <w:szCs w:val="20"/>
              </w:rPr>
              <w:t xml:space="preserve"> AD te hoog en niet </w:t>
            </w:r>
            <w:proofErr w:type="spellStart"/>
            <w:r w:rsidRPr="001A1FCC">
              <w:rPr>
                <w:sz w:val="20"/>
                <w:szCs w:val="20"/>
              </w:rPr>
              <w:t>Leverancierconform</w:t>
            </w:r>
            <w:proofErr w:type="spellEnd"/>
            <w:r w:rsidRPr="001A1FCC">
              <w:rPr>
                <w:rFonts w:eastAsia="Calibri" w:cs="Calibri"/>
                <w:sz w:val="20"/>
                <w:szCs w:val="20"/>
              </w:rPr>
              <w:t xml:space="preserve"> </w:t>
            </w:r>
          </w:p>
        </w:tc>
        <w:tc>
          <w:tcPr>
            <w:tcW w:w="1146" w:type="pct"/>
            <w:tcBorders>
              <w:top w:val="single" w:sz="4" w:space="0" w:color="000000"/>
              <w:left w:val="single" w:sz="4" w:space="0" w:color="000000"/>
              <w:bottom w:val="single" w:sz="4" w:space="0" w:color="000000"/>
              <w:right w:val="single" w:sz="4" w:space="0" w:color="000000"/>
            </w:tcBorders>
          </w:tcPr>
          <w:p w14:paraId="3CA34C38" w14:textId="16BAB87A" w:rsidR="00811EF1" w:rsidRPr="001A1FCC" w:rsidRDefault="00811EF1" w:rsidP="00811EF1">
            <w:pPr>
              <w:spacing w:line="241" w:lineRule="auto"/>
              <w:rPr>
                <w:sz w:val="20"/>
                <w:szCs w:val="20"/>
              </w:rPr>
            </w:pPr>
            <w:r w:rsidRPr="001A1FCC">
              <w:rPr>
                <w:sz w:val="20"/>
                <w:szCs w:val="20"/>
              </w:rPr>
              <w:t>AD hanteert oplopende limieten tot € 3.000.000 per gebeurtenis en € 5.000.000 per contractjaar bij opdrachten boven € 500.000. Dit wijkt wezenlijk af van het aansprakelijkheidsregime en de caps in de voorwaarden van Leverancier.</w:t>
            </w:r>
          </w:p>
        </w:tc>
        <w:tc>
          <w:tcPr>
            <w:tcW w:w="1367" w:type="pct"/>
            <w:tcBorders>
              <w:top w:val="single" w:sz="4" w:space="0" w:color="000000"/>
              <w:left w:val="single" w:sz="4" w:space="0" w:color="000000"/>
              <w:bottom w:val="single" w:sz="4" w:space="0" w:color="000000"/>
              <w:right w:val="single" w:sz="4" w:space="0" w:color="000000"/>
            </w:tcBorders>
          </w:tcPr>
          <w:p w14:paraId="3DC96E02" w14:textId="77777777" w:rsidR="008E11F0" w:rsidRPr="001A1FCC" w:rsidRDefault="008E11F0" w:rsidP="008E11F0">
            <w:pPr>
              <w:ind w:right="33"/>
              <w:rPr>
                <w:sz w:val="20"/>
                <w:szCs w:val="20"/>
              </w:rPr>
            </w:pPr>
            <w:r w:rsidRPr="001A1FCC">
              <w:rPr>
                <w:sz w:val="20"/>
                <w:szCs w:val="20"/>
              </w:rPr>
              <w:t>Leverancier gaat niet akkoord met artikel 16.1.</w:t>
            </w:r>
            <w:r w:rsidRPr="001A1FCC">
              <w:rPr>
                <w:rFonts w:eastAsia="Calibri" w:cs="Calibri"/>
                <w:sz w:val="20"/>
                <w:szCs w:val="20"/>
              </w:rPr>
              <w:t xml:space="preserve"> </w:t>
            </w:r>
            <w:r w:rsidRPr="001A1FCC">
              <w:rPr>
                <w:sz w:val="20"/>
                <w:szCs w:val="20"/>
              </w:rPr>
              <w:t xml:space="preserve">Aansprakelijkheid geldt uitsluitend conform de voorwaarden van </w:t>
            </w:r>
          </w:p>
          <w:p w14:paraId="33A7660C" w14:textId="77777777" w:rsidR="008E11F0" w:rsidRPr="001A1FCC" w:rsidRDefault="008E11F0" w:rsidP="008E11F0">
            <w:pPr>
              <w:spacing w:line="259" w:lineRule="auto"/>
              <w:rPr>
                <w:sz w:val="20"/>
                <w:szCs w:val="20"/>
              </w:rPr>
            </w:pPr>
            <w:r w:rsidRPr="001A1FCC">
              <w:rPr>
                <w:sz w:val="20"/>
                <w:szCs w:val="20"/>
              </w:rPr>
              <w:t xml:space="preserve">Leverancier, inclusief beperking tot directe schade en de daarin opgenomen </w:t>
            </w:r>
          </w:p>
          <w:p w14:paraId="5FAFE712" w14:textId="3802A510" w:rsidR="00811EF1" w:rsidRPr="001A1FCC" w:rsidRDefault="008E11F0" w:rsidP="008E11F0">
            <w:pPr>
              <w:rPr>
                <w:sz w:val="20"/>
                <w:szCs w:val="20"/>
              </w:rPr>
            </w:pPr>
            <w:r w:rsidRPr="001A1FCC">
              <w:rPr>
                <w:sz w:val="20"/>
                <w:szCs w:val="20"/>
              </w:rPr>
              <w:t>aansprakelijkheidslimiet en.</w:t>
            </w:r>
          </w:p>
        </w:tc>
        <w:tc>
          <w:tcPr>
            <w:tcW w:w="1406" w:type="pct"/>
            <w:tcBorders>
              <w:top w:val="single" w:sz="4" w:space="0" w:color="000000"/>
              <w:left w:val="single" w:sz="4" w:space="0" w:color="000000"/>
              <w:bottom w:val="single" w:sz="4" w:space="0" w:color="000000"/>
              <w:right w:val="single" w:sz="4" w:space="0" w:color="000000"/>
            </w:tcBorders>
          </w:tcPr>
          <w:p w14:paraId="7A407880" w14:textId="6342FC4D" w:rsidR="00811EF1" w:rsidRPr="001A1FCC" w:rsidRDefault="00D06536" w:rsidP="00811EF1">
            <w:pPr>
              <w:spacing w:line="259" w:lineRule="auto"/>
              <w:ind w:right="22"/>
              <w:rPr>
                <w:color w:val="EE0000"/>
                <w:sz w:val="20"/>
                <w:szCs w:val="20"/>
              </w:rPr>
            </w:pPr>
            <w:r w:rsidRPr="00D06536">
              <w:rPr>
                <w:color w:val="000000" w:themeColor="text1"/>
                <w:sz w:val="20"/>
                <w:szCs w:val="20"/>
              </w:rPr>
              <w:t>Opdrachtgever houdt</w:t>
            </w:r>
            <w:r w:rsidR="0084754A" w:rsidRPr="00D06536">
              <w:rPr>
                <w:color w:val="000000" w:themeColor="text1"/>
                <w:sz w:val="20"/>
                <w:szCs w:val="20"/>
              </w:rPr>
              <w:t xml:space="preserve"> vast aan de aansprakelijkheidslimieten zoals opgenomen in artikel 16.1, omdat deze in verhouding staan tot de omvang en het belang van de opdracht en een adequate bescherming bieden bij ernstige tekortkomingen in de leveringszekerheid. De gehanteerde bedragen zijn marktconform voor opdrachten van deze omvang en het risico dat deze limieten daadwerkelijk worden bereikt is bij normale bedrijfsvoering minimaal.</w:t>
            </w:r>
          </w:p>
        </w:tc>
      </w:tr>
      <w:tr w:rsidR="0084754A" w:rsidRPr="001A1FCC" w14:paraId="3D2C3788" w14:textId="77777777" w:rsidTr="00D06536">
        <w:trPr>
          <w:trHeight w:val="2539"/>
        </w:trPr>
        <w:tc>
          <w:tcPr>
            <w:tcW w:w="243" w:type="pct"/>
            <w:tcBorders>
              <w:top w:val="single" w:sz="4" w:space="0" w:color="000000"/>
              <w:left w:val="single" w:sz="4" w:space="0" w:color="000000"/>
              <w:bottom w:val="single" w:sz="4" w:space="0" w:color="000000"/>
              <w:right w:val="single" w:sz="4" w:space="0" w:color="000000"/>
            </w:tcBorders>
          </w:tcPr>
          <w:p w14:paraId="65205F3B" w14:textId="0A4258A9" w:rsidR="0084754A" w:rsidRPr="001A1FCC" w:rsidRDefault="0084754A" w:rsidP="0084754A">
            <w:pPr>
              <w:spacing w:line="259" w:lineRule="auto"/>
              <w:rPr>
                <w:sz w:val="20"/>
                <w:szCs w:val="20"/>
              </w:rPr>
            </w:pPr>
            <w:r w:rsidRPr="001A1FCC">
              <w:rPr>
                <w:sz w:val="20"/>
                <w:szCs w:val="20"/>
              </w:rPr>
              <w:t>15</w:t>
            </w:r>
          </w:p>
        </w:tc>
        <w:tc>
          <w:tcPr>
            <w:tcW w:w="838" w:type="pct"/>
            <w:tcBorders>
              <w:top w:val="single" w:sz="4" w:space="0" w:color="000000"/>
              <w:left w:val="single" w:sz="4" w:space="0" w:color="000000"/>
              <w:bottom w:val="single" w:sz="4" w:space="0" w:color="000000"/>
              <w:right w:val="single" w:sz="4" w:space="0" w:color="000000"/>
            </w:tcBorders>
          </w:tcPr>
          <w:p w14:paraId="53F81301" w14:textId="77777777" w:rsidR="0084754A" w:rsidRPr="001A1FCC" w:rsidRDefault="0084754A" w:rsidP="0084754A">
            <w:pPr>
              <w:rPr>
                <w:sz w:val="20"/>
                <w:szCs w:val="20"/>
              </w:rPr>
            </w:pPr>
            <w:r w:rsidRPr="001A1FCC">
              <w:rPr>
                <w:sz w:val="20"/>
                <w:szCs w:val="20"/>
              </w:rPr>
              <w:t xml:space="preserve">Art. 16.2 – uitzonderingen op </w:t>
            </w:r>
          </w:p>
          <w:p w14:paraId="25F24FA0" w14:textId="6EFDDF2F" w:rsidR="0084754A" w:rsidRPr="001A1FCC" w:rsidRDefault="0084754A" w:rsidP="0084754A">
            <w:pPr>
              <w:spacing w:line="259" w:lineRule="auto"/>
              <w:rPr>
                <w:sz w:val="20"/>
                <w:szCs w:val="20"/>
              </w:rPr>
            </w:pPr>
            <w:r w:rsidRPr="001A1FCC">
              <w:rPr>
                <w:sz w:val="20"/>
                <w:szCs w:val="20"/>
              </w:rPr>
              <w:t xml:space="preserve">aansprakelijkheid </w:t>
            </w:r>
            <w:proofErr w:type="spellStart"/>
            <w:r w:rsidRPr="001A1FCC">
              <w:rPr>
                <w:sz w:val="20"/>
                <w:szCs w:val="20"/>
              </w:rPr>
              <w:t>slimiet</w:t>
            </w:r>
            <w:proofErr w:type="spellEnd"/>
            <w:r w:rsidRPr="001A1FCC">
              <w:rPr>
                <w:sz w:val="20"/>
                <w:szCs w:val="20"/>
              </w:rPr>
              <w:t xml:space="preserve"> te breed</w:t>
            </w:r>
          </w:p>
        </w:tc>
        <w:tc>
          <w:tcPr>
            <w:tcW w:w="1146" w:type="pct"/>
            <w:tcBorders>
              <w:top w:val="single" w:sz="4" w:space="0" w:color="000000"/>
              <w:left w:val="single" w:sz="4" w:space="0" w:color="000000"/>
              <w:bottom w:val="single" w:sz="4" w:space="0" w:color="000000"/>
              <w:right w:val="single" w:sz="4" w:space="0" w:color="000000"/>
            </w:tcBorders>
          </w:tcPr>
          <w:p w14:paraId="63B976B1" w14:textId="77777777" w:rsidR="0084754A" w:rsidRPr="001A1FCC" w:rsidRDefault="0084754A" w:rsidP="0084754A">
            <w:pPr>
              <w:spacing w:line="259" w:lineRule="auto"/>
              <w:rPr>
                <w:sz w:val="20"/>
                <w:szCs w:val="20"/>
              </w:rPr>
            </w:pPr>
            <w:r w:rsidRPr="001A1FCC">
              <w:rPr>
                <w:sz w:val="20"/>
                <w:szCs w:val="20"/>
              </w:rPr>
              <w:t xml:space="preserve">AD laat de </w:t>
            </w:r>
          </w:p>
          <w:p w14:paraId="5BE563E5" w14:textId="5D0B4794" w:rsidR="0084754A" w:rsidRPr="001A1FCC" w:rsidRDefault="0084754A" w:rsidP="0084754A">
            <w:pPr>
              <w:spacing w:line="241" w:lineRule="auto"/>
              <w:rPr>
                <w:sz w:val="20"/>
                <w:szCs w:val="20"/>
              </w:rPr>
            </w:pPr>
            <w:r w:rsidRPr="001A1FCC">
              <w:rPr>
                <w:sz w:val="20"/>
                <w:szCs w:val="20"/>
              </w:rPr>
              <w:t>aansprakelijkheidslimiet vervallen bij o.a. dood/letsel, opzet/grove schuld, schending IE, privacy en alle vrijwaringen. Vooral de uitzondering voor alle vrijwaringen en artikelen 8/9 kan tot onbeperkte aansprakelijkheid leiden.</w:t>
            </w:r>
          </w:p>
        </w:tc>
        <w:tc>
          <w:tcPr>
            <w:tcW w:w="1367" w:type="pct"/>
            <w:tcBorders>
              <w:top w:val="single" w:sz="4" w:space="0" w:color="000000"/>
              <w:left w:val="single" w:sz="4" w:space="0" w:color="000000"/>
              <w:bottom w:val="single" w:sz="4" w:space="0" w:color="000000"/>
              <w:right w:val="single" w:sz="4" w:space="0" w:color="000000"/>
            </w:tcBorders>
          </w:tcPr>
          <w:p w14:paraId="0A363FEE" w14:textId="1C81DF13" w:rsidR="0084754A" w:rsidRPr="001A1FCC" w:rsidRDefault="0084754A" w:rsidP="0084754A">
            <w:pPr>
              <w:ind w:right="33"/>
              <w:rPr>
                <w:sz w:val="20"/>
                <w:szCs w:val="20"/>
              </w:rPr>
            </w:pPr>
            <w:r w:rsidRPr="001A1FCC">
              <w:rPr>
                <w:sz w:val="20"/>
                <w:szCs w:val="20"/>
              </w:rPr>
              <w:t xml:space="preserve">Uitzonderingen op de aansprakelijkheidslimiet gelden alleen voor zover wettelijk verplicht en/of voor opzet of bewuste roekeloosheid van de leiding van Leverancier. Geen onbeperkte </w:t>
            </w:r>
            <w:proofErr w:type="spellStart"/>
            <w:r w:rsidRPr="001A1FCC">
              <w:rPr>
                <w:sz w:val="20"/>
                <w:szCs w:val="20"/>
              </w:rPr>
              <w:t>carveout</w:t>
            </w:r>
            <w:proofErr w:type="spellEnd"/>
            <w:r w:rsidRPr="001A1FCC">
              <w:rPr>
                <w:sz w:val="20"/>
                <w:szCs w:val="20"/>
              </w:rPr>
              <w:t xml:space="preserve"> voor vrijwaringen, IE en privacy.</w:t>
            </w:r>
            <w:r w:rsidRPr="001A1FCC">
              <w:rPr>
                <w:rFonts w:eastAsia="Calibri" w:cs="Calibri"/>
                <w:sz w:val="20"/>
                <w:szCs w:val="20"/>
              </w:rPr>
              <w:t xml:space="preserve"> </w:t>
            </w:r>
          </w:p>
        </w:tc>
        <w:tc>
          <w:tcPr>
            <w:tcW w:w="1406" w:type="pct"/>
            <w:tcBorders>
              <w:top w:val="single" w:sz="4" w:space="0" w:color="000000"/>
              <w:left w:val="single" w:sz="4" w:space="0" w:color="000000"/>
              <w:bottom w:val="single" w:sz="4" w:space="0" w:color="000000"/>
              <w:right w:val="single" w:sz="4" w:space="0" w:color="000000"/>
            </w:tcBorders>
          </w:tcPr>
          <w:p w14:paraId="5E3F4AFA" w14:textId="45989E9C" w:rsidR="0084754A" w:rsidRPr="001A1FCC" w:rsidRDefault="00DC0835" w:rsidP="0084754A">
            <w:pPr>
              <w:spacing w:line="259" w:lineRule="auto"/>
              <w:ind w:right="22"/>
              <w:rPr>
                <w:color w:val="EE0000"/>
                <w:sz w:val="20"/>
                <w:szCs w:val="20"/>
              </w:rPr>
            </w:pPr>
            <w:r w:rsidRPr="006021EC">
              <w:rPr>
                <w:color w:val="000000" w:themeColor="text1"/>
                <w:sz w:val="20"/>
                <w:szCs w:val="20"/>
              </w:rPr>
              <w:t xml:space="preserve">Opdrachtgever </w:t>
            </w:r>
            <w:r w:rsidR="006021EC" w:rsidRPr="006021EC">
              <w:rPr>
                <w:color w:val="000000" w:themeColor="text1"/>
                <w:sz w:val="20"/>
                <w:szCs w:val="20"/>
              </w:rPr>
              <w:t xml:space="preserve">is akkoord met </w:t>
            </w:r>
            <w:r w:rsidR="00594B9C" w:rsidRPr="006021EC">
              <w:rPr>
                <w:color w:val="000000" w:themeColor="text1"/>
                <w:sz w:val="20"/>
                <w:szCs w:val="20"/>
              </w:rPr>
              <w:t>de uitzonderingen op de aansprakelijkheidslimiet te beperken tot gevallen van opzet of bewuste roekeloosheid van de Leverancier en situaties waarin de wet geen beperking toestaat, zoals bij dood of letsel. Vrijwaringen, IE- en privacyschendingen vallen daarmee onder de normale aansprakelijkheidslimiet uit artikel 16.1.</w:t>
            </w:r>
          </w:p>
        </w:tc>
      </w:tr>
    </w:tbl>
    <w:p w14:paraId="0F9F3C24" w14:textId="77777777" w:rsidR="00967C55" w:rsidRPr="001A1FCC" w:rsidRDefault="00967C55">
      <w:pPr>
        <w:spacing w:after="0" w:line="259" w:lineRule="auto"/>
        <w:ind w:left="-1417" w:right="10120"/>
        <w:rPr>
          <w:sz w:val="20"/>
          <w:szCs w:val="20"/>
        </w:rPr>
      </w:pPr>
    </w:p>
    <w:tbl>
      <w:tblPr>
        <w:tblStyle w:val="TableGrid"/>
        <w:tblW w:w="5000" w:type="pct"/>
        <w:tblInd w:w="0" w:type="dxa"/>
        <w:tblCellMar>
          <w:top w:w="5" w:type="dxa"/>
          <w:left w:w="108" w:type="dxa"/>
          <w:right w:w="90" w:type="dxa"/>
        </w:tblCellMar>
        <w:tblLook w:val="04A0" w:firstRow="1" w:lastRow="0" w:firstColumn="1" w:lastColumn="0" w:noHBand="0" w:noVBand="1"/>
      </w:tblPr>
      <w:tblGrid>
        <w:gridCol w:w="722"/>
        <w:gridCol w:w="2107"/>
        <w:gridCol w:w="3118"/>
        <w:gridCol w:w="3261"/>
        <w:gridCol w:w="4786"/>
      </w:tblGrid>
      <w:tr w:rsidR="00B057F3" w:rsidRPr="001A1FCC" w14:paraId="6945FC7A" w14:textId="22C08DF6" w:rsidTr="00D06536">
        <w:trPr>
          <w:trHeight w:val="2940"/>
        </w:trPr>
        <w:tc>
          <w:tcPr>
            <w:tcW w:w="258" w:type="pct"/>
            <w:tcBorders>
              <w:top w:val="single" w:sz="4" w:space="0" w:color="000000"/>
              <w:left w:val="single" w:sz="4" w:space="0" w:color="000000"/>
              <w:bottom w:val="single" w:sz="4" w:space="0" w:color="000000"/>
              <w:right w:val="single" w:sz="4" w:space="0" w:color="000000"/>
            </w:tcBorders>
          </w:tcPr>
          <w:p w14:paraId="156F9F15" w14:textId="77777777" w:rsidR="00B057F3" w:rsidRPr="001A1FCC" w:rsidRDefault="00B057F3">
            <w:pPr>
              <w:spacing w:line="259" w:lineRule="auto"/>
              <w:rPr>
                <w:sz w:val="20"/>
                <w:szCs w:val="20"/>
              </w:rPr>
            </w:pPr>
            <w:r w:rsidRPr="001A1FCC">
              <w:rPr>
                <w:sz w:val="20"/>
                <w:szCs w:val="20"/>
              </w:rPr>
              <w:lastRenderedPageBreak/>
              <w:t>16</w:t>
            </w:r>
            <w:r w:rsidRPr="001A1FCC">
              <w:rPr>
                <w:rFonts w:eastAsia="Calibri" w:cs="Calibri"/>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29B8F658" w14:textId="47AF6AA4" w:rsidR="00B057F3" w:rsidRPr="001A1FCC" w:rsidRDefault="00B057F3" w:rsidP="00B057F3">
            <w:pPr>
              <w:rPr>
                <w:sz w:val="20"/>
                <w:szCs w:val="20"/>
              </w:rPr>
            </w:pPr>
            <w:r w:rsidRPr="001A1FCC">
              <w:rPr>
                <w:sz w:val="20"/>
                <w:szCs w:val="20"/>
              </w:rPr>
              <w:t>Art. 17 – boete direct opeisbaar en cumulatief naast schadevergoeding</w:t>
            </w:r>
            <w:r w:rsidRPr="001A1FCC">
              <w:rPr>
                <w:rFonts w:eastAsia="Calibri" w:cs="Calibri"/>
                <w:sz w:val="20"/>
                <w:szCs w:val="20"/>
              </w:rPr>
              <w:t xml:space="preserve"> </w:t>
            </w:r>
          </w:p>
        </w:tc>
        <w:tc>
          <w:tcPr>
            <w:tcW w:w="1114" w:type="pct"/>
            <w:tcBorders>
              <w:top w:val="single" w:sz="4" w:space="0" w:color="000000"/>
              <w:left w:val="single" w:sz="4" w:space="0" w:color="000000"/>
              <w:bottom w:val="single" w:sz="4" w:space="0" w:color="000000"/>
              <w:right w:val="single" w:sz="4" w:space="0" w:color="000000"/>
            </w:tcBorders>
          </w:tcPr>
          <w:p w14:paraId="37CF450B" w14:textId="77777777" w:rsidR="00B057F3" w:rsidRPr="001A1FCC" w:rsidRDefault="00B057F3">
            <w:pPr>
              <w:spacing w:line="259" w:lineRule="auto"/>
              <w:rPr>
                <w:sz w:val="20"/>
                <w:szCs w:val="20"/>
              </w:rPr>
            </w:pPr>
            <w:r w:rsidRPr="001A1FCC">
              <w:rPr>
                <w:sz w:val="20"/>
                <w:szCs w:val="20"/>
              </w:rPr>
              <w:t>AD bepaalt dat een overeengekomen boete direct opeisbaar is zonder rechterlijke tussenkomst, ingebrekestelling of aanmaning, en dat boete alle andere rechten, nakoming en schadevergoeding onverlet laat. Dit kan leiden tot cumulatie van boete en volledige schadevergoeding.</w:t>
            </w:r>
            <w:r w:rsidRPr="001A1FCC">
              <w:rPr>
                <w:rFonts w:eastAsia="Calibri" w:cs="Calibri"/>
                <w:sz w:val="20"/>
                <w:szCs w:val="20"/>
              </w:rPr>
              <w:t xml:space="preserve"> </w:t>
            </w:r>
          </w:p>
        </w:tc>
        <w:tc>
          <w:tcPr>
            <w:tcW w:w="1165" w:type="pct"/>
            <w:tcBorders>
              <w:top w:val="single" w:sz="4" w:space="0" w:color="000000"/>
              <w:left w:val="single" w:sz="4" w:space="0" w:color="000000"/>
              <w:bottom w:val="single" w:sz="4" w:space="0" w:color="000000"/>
              <w:right w:val="single" w:sz="4" w:space="0" w:color="000000"/>
            </w:tcBorders>
          </w:tcPr>
          <w:p w14:paraId="25987DE1" w14:textId="77777777" w:rsidR="00B057F3" w:rsidRPr="001A1FCC" w:rsidRDefault="00B057F3">
            <w:pPr>
              <w:rPr>
                <w:sz w:val="20"/>
                <w:szCs w:val="20"/>
              </w:rPr>
            </w:pPr>
            <w:r w:rsidRPr="001A1FCC">
              <w:rPr>
                <w:sz w:val="20"/>
                <w:szCs w:val="20"/>
              </w:rPr>
              <w:t xml:space="preserve">Akkoord mits boetes specifiek, uitputtend en schriftelijk zijn </w:t>
            </w:r>
          </w:p>
          <w:p w14:paraId="6621F422" w14:textId="77777777" w:rsidR="00B057F3" w:rsidRPr="001A1FCC" w:rsidRDefault="00B057F3">
            <w:pPr>
              <w:rPr>
                <w:sz w:val="20"/>
                <w:szCs w:val="20"/>
              </w:rPr>
            </w:pPr>
            <w:r w:rsidRPr="001A1FCC">
              <w:rPr>
                <w:sz w:val="20"/>
                <w:szCs w:val="20"/>
              </w:rPr>
              <w:t>overeengekomen.</w:t>
            </w:r>
            <w:r w:rsidRPr="001A1FCC">
              <w:rPr>
                <w:rFonts w:eastAsia="Calibri" w:cs="Calibri"/>
                <w:sz w:val="20"/>
                <w:szCs w:val="20"/>
              </w:rPr>
              <w:t xml:space="preserve"> </w:t>
            </w:r>
            <w:r w:rsidRPr="001A1FCC">
              <w:rPr>
                <w:sz w:val="20"/>
                <w:szCs w:val="20"/>
              </w:rPr>
              <w:t xml:space="preserve">Event </w:t>
            </w:r>
            <w:proofErr w:type="spellStart"/>
            <w:r w:rsidRPr="001A1FCC">
              <w:rPr>
                <w:sz w:val="20"/>
                <w:szCs w:val="20"/>
              </w:rPr>
              <w:t>uele</w:t>
            </w:r>
            <w:proofErr w:type="spellEnd"/>
            <w:r w:rsidRPr="001A1FCC">
              <w:rPr>
                <w:sz w:val="20"/>
                <w:szCs w:val="20"/>
              </w:rPr>
              <w:t xml:space="preserve"> boetes moeten gemaximeerd zijn en in mindering komen op </w:t>
            </w:r>
          </w:p>
          <w:p w14:paraId="3F9F9C8F" w14:textId="77777777" w:rsidR="00B057F3" w:rsidRPr="001A1FCC" w:rsidRDefault="00B057F3">
            <w:pPr>
              <w:spacing w:line="259" w:lineRule="auto"/>
              <w:rPr>
                <w:sz w:val="20"/>
                <w:szCs w:val="20"/>
              </w:rPr>
            </w:pPr>
            <w:r w:rsidRPr="001A1FCC">
              <w:rPr>
                <w:sz w:val="20"/>
                <w:szCs w:val="20"/>
              </w:rPr>
              <w:t>eventuele schadevergoeding.</w:t>
            </w:r>
            <w:r w:rsidRPr="001A1FCC">
              <w:rPr>
                <w:rFonts w:eastAsia="Calibri" w:cs="Calibri"/>
                <w:sz w:val="20"/>
                <w:szCs w:val="20"/>
              </w:rPr>
              <w:t xml:space="preserve"> </w:t>
            </w:r>
          </w:p>
        </w:tc>
        <w:tc>
          <w:tcPr>
            <w:tcW w:w="1710" w:type="pct"/>
            <w:tcBorders>
              <w:top w:val="single" w:sz="4" w:space="0" w:color="000000"/>
              <w:left w:val="single" w:sz="4" w:space="0" w:color="000000"/>
              <w:bottom w:val="single" w:sz="4" w:space="0" w:color="000000"/>
              <w:right w:val="single" w:sz="4" w:space="0" w:color="000000"/>
            </w:tcBorders>
          </w:tcPr>
          <w:p w14:paraId="5012D8FA" w14:textId="2A6C8C83" w:rsidR="00B057F3" w:rsidRPr="00884037" w:rsidRDefault="0055053B">
            <w:pPr>
              <w:rPr>
                <w:color w:val="000000" w:themeColor="text1"/>
                <w:sz w:val="20"/>
                <w:szCs w:val="20"/>
              </w:rPr>
            </w:pPr>
            <w:r w:rsidRPr="00884037">
              <w:rPr>
                <w:color w:val="000000" w:themeColor="text1"/>
                <w:sz w:val="20"/>
                <w:szCs w:val="20"/>
              </w:rPr>
              <w:t>Opdrachtgever stemt in</w:t>
            </w:r>
            <w:r w:rsidR="007620D2" w:rsidRPr="00884037">
              <w:rPr>
                <w:color w:val="000000" w:themeColor="text1"/>
                <w:sz w:val="20"/>
                <w:szCs w:val="20"/>
              </w:rPr>
              <w:t xml:space="preserve"> met de voorwaarde dat boetes specifiek, uitputtend en schriftelijk worden overeengekomen, maar houden vast aan de directe opeisbaarheid zonder ingebrekestelling en aan het recht op nakoming en schadevergoeding naast de boete. Een verrekening van boetes op de schadevergoeding of een maximum op boetes is voor ons niet acceptabel, omdat dit de prikkel tot nakoming die de boete beoogt te geven wegneemt.</w:t>
            </w:r>
          </w:p>
        </w:tc>
      </w:tr>
      <w:tr w:rsidR="00B057F3" w:rsidRPr="001A1FCC" w14:paraId="2F17E8C3" w14:textId="2B7B35DB" w:rsidTr="00D06536">
        <w:trPr>
          <w:trHeight w:val="1768"/>
        </w:trPr>
        <w:tc>
          <w:tcPr>
            <w:tcW w:w="258" w:type="pct"/>
            <w:tcBorders>
              <w:top w:val="single" w:sz="4" w:space="0" w:color="000000"/>
              <w:left w:val="single" w:sz="4" w:space="0" w:color="000000"/>
              <w:bottom w:val="single" w:sz="4" w:space="0" w:color="000000"/>
              <w:right w:val="single" w:sz="4" w:space="0" w:color="000000"/>
            </w:tcBorders>
          </w:tcPr>
          <w:p w14:paraId="3CF3CF0E" w14:textId="77777777" w:rsidR="00B057F3" w:rsidRPr="001A1FCC" w:rsidRDefault="00B057F3">
            <w:pPr>
              <w:spacing w:line="259" w:lineRule="auto"/>
              <w:rPr>
                <w:sz w:val="20"/>
                <w:szCs w:val="20"/>
              </w:rPr>
            </w:pPr>
            <w:r w:rsidRPr="001A1FCC">
              <w:rPr>
                <w:sz w:val="20"/>
                <w:szCs w:val="20"/>
              </w:rPr>
              <w:t>17</w:t>
            </w:r>
            <w:r w:rsidRPr="001A1FCC">
              <w:rPr>
                <w:rFonts w:eastAsia="Calibri" w:cs="Calibri"/>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705B13CA" w14:textId="77777777" w:rsidR="00B057F3" w:rsidRPr="001A1FCC" w:rsidRDefault="00B057F3">
            <w:pPr>
              <w:rPr>
                <w:sz w:val="20"/>
                <w:szCs w:val="20"/>
              </w:rPr>
            </w:pPr>
            <w:r w:rsidRPr="001A1FCC">
              <w:rPr>
                <w:sz w:val="20"/>
                <w:szCs w:val="20"/>
              </w:rPr>
              <w:t xml:space="preserve">Art. 18.4 – bevoegde rechter arrondissement </w:t>
            </w:r>
          </w:p>
          <w:p w14:paraId="71132610" w14:textId="77777777" w:rsidR="00B057F3" w:rsidRPr="001A1FCC" w:rsidRDefault="00B057F3">
            <w:pPr>
              <w:spacing w:line="259" w:lineRule="auto"/>
              <w:rPr>
                <w:sz w:val="20"/>
                <w:szCs w:val="20"/>
              </w:rPr>
            </w:pPr>
            <w:r w:rsidRPr="001A1FCC">
              <w:rPr>
                <w:sz w:val="20"/>
                <w:szCs w:val="20"/>
              </w:rPr>
              <w:t>AD</w:t>
            </w:r>
            <w:r w:rsidRPr="001A1FCC">
              <w:rPr>
                <w:rFonts w:eastAsia="Calibri" w:cs="Calibri"/>
                <w:sz w:val="20"/>
                <w:szCs w:val="20"/>
              </w:rPr>
              <w:t xml:space="preserve"> </w:t>
            </w:r>
          </w:p>
        </w:tc>
        <w:tc>
          <w:tcPr>
            <w:tcW w:w="1114" w:type="pct"/>
            <w:tcBorders>
              <w:top w:val="single" w:sz="4" w:space="0" w:color="000000"/>
              <w:left w:val="single" w:sz="4" w:space="0" w:color="000000"/>
              <w:bottom w:val="single" w:sz="4" w:space="0" w:color="000000"/>
              <w:right w:val="single" w:sz="4" w:space="0" w:color="000000"/>
            </w:tcBorders>
          </w:tcPr>
          <w:p w14:paraId="06A8336B" w14:textId="77777777" w:rsidR="00B057F3" w:rsidRPr="001A1FCC" w:rsidRDefault="00B057F3">
            <w:pPr>
              <w:spacing w:line="259" w:lineRule="auto"/>
              <w:rPr>
                <w:sz w:val="20"/>
                <w:szCs w:val="20"/>
              </w:rPr>
            </w:pPr>
            <w:r w:rsidRPr="001A1FCC">
              <w:rPr>
                <w:sz w:val="20"/>
                <w:szCs w:val="20"/>
              </w:rPr>
              <w:t>AD kiest de bevoegde rechter in het arrondissement waar AD is gevestigd. Dit wijkt af van de forumkeuze in de voorwaarden van Leverancier.</w:t>
            </w:r>
            <w:r w:rsidRPr="001A1FCC">
              <w:rPr>
                <w:rFonts w:eastAsia="Calibri" w:cs="Calibri"/>
                <w:sz w:val="20"/>
                <w:szCs w:val="20"/>
              </w:rPr>
              <w:t xml:space="preserve"> </w:t>
            </w:r>
          </w:p>
        </w:tc>
        <w:tc>
          <w:tcPr>
            <w:tcW w:w="1165" w:type="pct"/>
            <w:tcBorders>
              <w:top w:val="single" w:sz="4" w:space="0" w:color="000000"/>
              <w:left w:val="single" w:sz="4" w:space="0" w:color="000000"/>
              <w:bottom w:val="single" w:sz="4" w:space="0" w:color="000000"/>
              <w:right w:val="single" w:sz="4" w:space="0" w:color="000000"/>
            </w:tcBorders>
          </w:tcPr>
          <w:p w14:paraId="7DC9503B" w14:textId="77777777" w:rsidR="00B057F3" w:rsidRPr="001A1FCC" w:rsidRDefault="00B057F3">
            <w:pPr>
              <w:spacing w:line="259" w:lineRule="auto"/>
              <w:rPr>
                <w:sz w:val="20"/>
                <w:szCs w:val="20"/>
              </w:rPr>
            </w:pPr>
            <w:r w:rsidRPr="001A1FCC">
              <w:rPr>
                <w:sz w:val="20"/>
                <w:szCs w:val="20"/>
              </w:rPr>
              <w:t>Geschillen worden beslecht door de bevoegde rechter zoals opgenomen in de voorwaarden van Leverancier.</w:t>
            </w:r>
            <w:r w:rsidRPr="001A1FCC">
              <w:rPr>
                <w:rFonts w:eastAsia="Calibri" w:cs="Calibri"/>
                <w:sz w:val="20"/>
                <w:szCs w:val="20"/>
              </w:rPr>
              <w:t xml:space="preserve"> </w:t>
            </w:r>
          </w:p>
        </w:tc>
        <w:tc>
          <w:tcPr>
            <w:tcW w:w="1710" w:type="pct"/>
            <w:tcBorders>
              <w:top w:val="single" w:sz="4" w:space="0" w:color="000000"/>
              <w:left w:val="single" w:sz="4" w:space="0" w:color="000000"/>
              <w:bottom w:val="single" w:sz="4" w:space="0" w:color="000000"/>
              <w:right w:val="single" w:sz="4" w:space="0" w:color="000000"/>
            </w:tcBorders>
          </w:tcPr>
          <w:p w14:paraId="30CDD073" w14:textId="700046B2" w:rsidR="00B057F3" w:rsidRPr="001F30B6" w:rsidRDefault="00F15673">
            <w:pPr>
              <w:spacing w:line="259" w:lineRule="auto"/>
              <w:rPr>
                <w:color w:val="000000" w:themeColor="text1"/>
                <w:sz w:val="20"/>
                <w:szCs w:val="20"/>
              </w:rPr>
            </w:pPr>
            <w:r w:rsidRPr="001F30B6">
              <w:rPr>
                <w:color w:val="000000" w:themeColor="text1"/>
                <w:sz w:val="20"/>
                <w:szCs w:val="20"/>
              </w:rPr>
              <w:t xml:space="preserve">Opdrachtgever is akkoord </w:t>
            </w:r>
            <w:r w:rsidR="001F30B6" w:rsidRPr="001F30B6">
              <w:rPr>
                <w:color w:val="000000" w:themeColor="text1"/>
                <w:sz w:val="20"/>
                <w:szCs w:val="20"/>
              </w:rPr>
              <w:t>met afwijking van</w:t>
            </w:r>
            <w:r w:rsidR="0087198C" w:rsidRPr="001F30B6">
              <w:rPr>
                <w:color w:val="000000" w:themeColor="text1"/>
                <w:sz w:val="20"/>
                <w:szCs w:val="20"/>
              </w:rPr>
              <w:t xml:space="preserve"> de forumkeuze in artikel 18.4 en stellen voor om geschillen te beslechten door de bevoegde rechter in het arrondissement van de gedaagde partij. Nederlands recht blijft onverkort van toepassing.</w:t>
            </w:r>
          </w:p>
        </w:tc>
      </w:tr>
      <w:tr w:rsidR="00B057F3" w:rsidRPr="001A1FCC" w14:paraId="23A5951D" w14:textId="7CC3ADF5" w:rsidTr="00D06536">
        <w:trPr>
          <w:trHeight w:val="3819"/>
        </w:trPr>
        <w:tc>
          <w:tcPr>
            <w:tcW w:w="258" w:type="pct"/>
            <w:tcBorders>
              <w:top w:val="single" w:sz="4" w:space="0" w:color="000000"/>
              <w:left w:val="single" w:sz="4" w:space="0" w:color="000000"/>
              <w:bottom w:val="single" w:sz="4" w:space="0" w:color="000000"/>
              <w:right w:val="single" w:sz="4" w:space="0" w:color="000000"/>
            </w:tcBorders>
          </w:tcPr>
          <w:p w14:paraId="43494819" w14:textId="77777777" w:rsidR="00B057F3" w:rsidRPr="001A1FCC" w:rsidRDefault="00B057F3">
            <w:pPr>
              <w:spacing w:line="259" w:lineRule="auto"/>
              <w:rPr>
                <w:sz w:val="20"/>
                <w:szCs w:val="20"/>
              </w:rPr>
            </w:pPr>
            <w:r w:rsidRPr="001A1FCC">
              <w:rPr>
                <w:sz w:val="20"/>
                <w:szCs w:val="20"/>
              </w:rPr>
              <w:t>18</w:t>
            </w:r>
            <w:r w:rsidRPr="001A1FCC">
              <w:rPr>
                <w:rFonts w:eastAsia="Calibri" w:cs="Calibri"/>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6D5FB6F4" w14:textId="77777777" w:rsidR="00B057F3" w:rsidRPr="001A1FCC" w:rsidRDefault="00B057F3">
            <w:pPr>
              <w:spacing w:line="259" w:lineRule="auto"/>
              <w:rPr>
                <w:sz w:val="20"/>
                <w:szCs w:val="20"/>
              </w:rPr>
            </w:pPr>
            <w:r w:rsidRPr="001A1FCC">
              <w:rPr>
                <w:sz w:val="20"/>
                <w:szCs w:val="20"/>
              </w:rPr>
              <w:t>Art. 20.3-20.4 – betalingstermijn 30 dagen na ontvangst / opschorting betaling</w:t>
            </w:r>
            <w:r w:rsidRPr="001A1FCC">
              <w:rPr>
                <w:rFonts w:eastAsia="Calibri" w:cs="Calibri"/>
                <w:sz w:val="20"/>
                <w:szCs w:val="20"/>
              </w:rPr>
              <w:t xml:space="preserve"> </w:t>
            </w:r>
          </w:p>
        </w:tc>
        <w:tc>
          <w:tcPr>
            <w:tcW w:w="1114" w:type="pct"/>
            <w:tcBorders>
              <w:top w:val="single" w:sz="4" w:space="0" w:color="000000"/>
              <w:left w:val="single" w:sz="4" w:space="0" w:color="000000"/>
              <w:bottom w:val="single" w:sz="4" w:space="0" w:color="000000"/>
              <w:right w:val="single" w:sz="4" w:space="0" w:color="000000"/>
            </w:tcBorders>
          </w:tcPr>
          <w:p w14:paraId="0BFAA09C" w14:textId="77777777" w:rsidR="00B057F3" w:rsidRPr="001A1FCC" w:rsidRDefault="00B057F3">
            <w:pPr>
              <w:spacing w:line="259" w:lineRule="auto"/>
              <w:rPr>
                <w:sz w:val="20"/>
                <w:szCs w:val="20"/>
              </w:rPr>
            </w:pPr>
            <w:r w:rsidRPr="001A1FCC">
              <w:rPr>
                <w:sz w:val="20"/>
                <w:szCs w:val="20"/>
              </w:rPr>
              <w:t>AD hanteert 30 dagen na ontvangst factuur en de betalingstermijn start niet als de factuur niet aan eisen voldoet. AD mag betaling naar rato opschorten bij non-conformiteit. Dit wijkt af van de voorwaarden van Leverancier, waarin betaling binnen de overeengekomen termijn moet plaatsvinden en bezwaar tegen een factuur de betalingsverplichting niet opschort.</w:t>
            </w:r>
            <w:r w:rsidRPr="001A1FCC">
              <w:rPr>
                <w:rFonts w:eastAsia="Calibri" w:cs="Calibri"/>
                <w:sz w:val="20"/>
                <w:szCs w:val="20"/>
              </w:rPr>
              <w:t xml:space="preserve"> </w:t>
            </w:r>
          </w:p>
        </w:tc>
        <w:tc>
          <w:tcPr>
            <w:tcW w:w="1165" w:type="pct"/>
            <w:tcBorders>
              <w:top w:val="single" w:sz="4" w:space="0" w:color="000000"/>
              <w:left w:val="single" w:sz="4" w:space="0" w:color="000000"/>
              <w:bottom w:val="single" w:sz="4" w:space="0" w:color="000000"/>
              <w:right w:val="single" w:sz="4" w:space="0" w:color="000000"/>
            </w:tcBorders>
          </w:tcPr>
          <w:p w14:paraId="28F03ECA" w14:textId="77777777" w:rsidR="00B057F3" w:rsidRPr="001A1FCC" w:rsidRDefault="00B057F3">
            <w:pPr>
              <w:spacing w:line="259" w:lineRule="auto"/>
              <w:rPr>
                <w:sz w:val="20"/>
                <w:szCs w:val="20"/>
              </w:rPr>
            </w:pPr>
            <w:r w:rsidRPr="001A1FCC">
              <w:rPr>
                <w:sz w:val="20"/>
                <w:szCs w:val="20"/>
              </w:rPr>
              <w:t>Betaling vindt plaats binnen de termijn zoals opgenomen in de voorwaarden van Leverancier; geen opschorting of verrekening wegens factuurbezwaar of gestelde tekortkoming.</w:t>
            </w:r>
            <w:r w:rsidRPr="001A1FCC">
              <w:rPr>
                <w:rFonts w:eastAsia="Calibri" w:cs="Calibri"/>
                <w:sz w:val="20"/>
                <w:szCs w:val="20"/>
              </w:rPr>
              <w:t xml:space="preserve"> </w:t>
            </w:r>
          </w:p>
        </w:tc>
        <w:tc>
          <w:tcPr>
            <w:tcW w:w="1710" w:type="pct"/>
            <w:tcBorders>
              <w:top w:val="single" w:sz="4" w:space="0" w:color="000000"/>
              <w:left w:val="single" w:sz="4" w:space="0" w:color="000000"/>
              <w:bottom w:val="single" w:sz="4" w:space="0" w:color="000000"/>
              <w:right w:val="single" w:sz="4" w:space="0" w:color="000000"/>
            </w:tcBorders>
          </w:tcPr>
          <w:p w14:paraId="79F58B55" w14:textId="2F7FD893" w:rsidR="00B057F3" w:rsidRPr="001A1FCC" w:rsidRDefault="0074096F">
            <w:pPr>
              <w:spacing w:line="259" w:lineRule="auto"/>
              <w:rPr>
                <w:sz w:val="20"/>
                <w:szCs w:val="20"/>
              </w:rPr>
            </w:pPr>
            <w:r w:rsidRPr="0074096F">
              <w:rPr>
                <w:color w:val="000000" w:themeColor="text1"/>
                <w:sz w:val="20"/>
                <w:szCs w:val="20"/>
              </w:rPr>
              <w:t>Opdrachtgever houdt</w:t>
            </w:r>
            <w:r w:rsidR="00654734" w:rsidRPr="0074096F">
              <w:rPr>
                <w:color w:val="000000" w:themeColor="text1"/>
                <w:sz w:val="20"/>
                <w:szCs w:val="20"/>
              </w:rPr>
              <w:t xml:space="preserve"> vast aan een betalingstermijn van 30 dagen na ontvangst van de factuur en aan het recht om betaling naar rato op te schorten bij non-conformiteit, omdat dit marktconforme en wettelijk gangbare voorwaarden zijn die voor AD als publieke organisatie operationeel noodzakelijk zijn. Het voorstel van Leverancier om bezwaar tegen een factuur de betalingsverplichting niet te laten opschorten is voor ons niet acceptabel.</w:t>
            </w:r>
          </w:p>
        </w:tc>
      </w:tr>
    </w:tbl>
    <w:p w14:paraId="45B17423" w14:textId="77777777" w:rsidR="00FD4DE8" w:rsidRPr="001A1FCC" w:rsidRDefault="00FD4DE8">
      <w:pPr>
        <w:rPr>
          <w:sz w:val="20"/>
          <w:szCs w:val="20"/>
        </w:rPr>
      </w:pPr>
      <w:r w:rsidRPr="001A1FCC">
        <w:rPr>
          <w:sz w:val="20"/>
          <w:szCs w:val="20"/>
        </w:rPr>
        <w:br w:type="page"/>
      </w:r>
    </w:p>
    <w:tbl>
      <w:tblPr>
        <w:tblStyle w:val="TableGrid"/>
        <w:tblW w:w="5000" w:type="pct"/>
        <w:tblInd w:w="0" w:type="dxa"/>
        <w:tblCellMar>
          <w:top w:w="5" w:type="dxa"/>
          <w:left w:w="108" w:type="dxa"/>
          <w:right w:w="90" w:type="dxa"/>
        </w:tblCellMar>
        <w:tblLook w:val="04A0" w:firstRow="1" w:lastRow="0" w:firstColumn="1" w:lastColumn="0" w:noHBand="0" w:noVBand="1"/>
      </w:tblPr>
      <w:tblGrid>
        <w:gridCol w:w="722"/>
        <w:gridCol w:w="2463"/>
        <w:gridCol w:w="4285"/>
        <w:gridCol w:w="3272"/>
        <w:gridCol w:w="3252"/>
      </w:tblGrid>
      <w:tr w:rsidR="00B057F3" w:rsidRPr="001A1FCC" w14:paraId="6440F313" w14:textId="6E80CB1B" w:rsidTr="00563775">
        <w:trPr>
          <w:trHeight w:val="2107"/>
        </w:trPr>
        <w:tc>
          <w:tcPr>
            <w:tcW w:w="258" w:type="pct"/>
            <w:tcBorders>
              <w:top w:val="single" w:sz="4" w:space="0" w:color="000000"/>
              <w:left w:val="single" w:sz="4" w:space="0" w:color="000000"/>
              <w:bottom w:val="single" w:sz="4" w:space="0" w:color="000000"/>
              <w:right w:val="single" w:sz="4" w:space="0" w:color="000000"/>
            </w:tcBorders>
          </w:tcPr>
          <w:p w14:paraId="22564930" w14:textId="78433767" w:rsidR="00B057F3" w:rsidRPr="001A1FCC" w:rsidRDefault="00B057F3">
            <w:pPr>
              <w:spacing w:line="259" w:lineRule="auto"/>
              <w:rPr>
                <w:sz w:val="20"/>
                <w:szCs w:val="20"/>
              </w:rPr>
            </w:pPr>
            <w:r w:rsidRPr="001A1FCC">
              <w:rPr>
                <w:sz w:val="20"/>
                <w:szCs w:val="20"/>
              </w:rPr>
              <w:lastRenderedPageBreak/>
              <w:t>19</w:t>
            </w:r>
            <w:r w:rsidRPr="001A1FCC">
              <w:rPr>
                <w:rFonts w:eastAsia="Calibri" w:cs="Calibri"/>
                <w:sz w:val="20"/>
                <w:szCs w:val="20"/>
              </w:rPr>
              <w:t xml:space="preserve"> </w:t>
            </w:r>
          </w:p>
        </w:tc>
        <w:tc>
          <w:tcPr>
            <w:tcW w:w="880" w:type="pct"/>
            <w:tcBorders>
              <w:top w:val="single" w:sz="4" w:space="0" w:color="000000"/>
              <w:left w:val="single" w:sz="4" w:space="0" w:color="000000"/>
              <w:bottom w:val="single" w:sz="4" w:space="0" w:color="000000"/>
              <w:right w:val="single" w:sz="4" w:space="0" w:color="000000"/>
            </w:tcBorders>
          </w:tcPr>
          <w:p w14:paraId="63426D22" w14:textId="77777777" w:rsidR="00B057F3" w:rsidRPr="001A1FCC" w:rsidRDefault="00B057F3">
            <w:pPr>
              <w:spacing w:line="259" w:lineRule="auto"/>
              <w:rPr>
                <w:sz w:val="20"/>
                <w:szCs w:val="20"/>
              </w:rPr>
            </w:pPr>
            <w:r w:rsidRPr="001A1FCC">
              <w:rPr>
                <w:sz w:val="20"/>
                <w:szCs w:val="20"/>
              </w:rPr>
              <w:t>Art. 21-24 – aflevering, acceptatie, garanties en dienstenkeuring</w:t>
            </w:r>
            <w:r w:rsidRPr="001A1FCC">
              <w:rPr>
                <w:rFonts w:eastAsia="Calibri" w:cs="Calibri"/>
                <w:sz w:val="20"/>
                <w:szCs w:val="20"/>
              </w:rPr>
              <w:t xml:space="preserve"> </w:t>
            </w:r>
          </w:p>
        </w:tc>
        <w:tc>
          <w:tcPr>
            <w:tcW w:w="1531" w:type="pct"/>
            <w:tcBorders>
              <w:top w:val="single" w:sz="4" w:space="0" w:color="000000"/>
              <w:left w:val="single" w:sz="4" w:space="0" w:color="000000"/>
              <w:bottom w:val="single" w:sz="4" w:space="0" w:color="000000"/>
              <w:right w:val="single" w:sz="4" w:space="0" w:color="000000"/>
            </w:tcBorders>
          </w:tcPr>
          <w:p w14:paraId="0661A21F" w14:textId="77777777" w:rsidR="00B057F3" w:rsidRPr="001A1FCC" w:rsidRDefault="00B057F3">
            <w:pPr>
              <w:spacing w:line="259" w:lineRule="auto"/>
              <w:rPr>
                <w:sz w:val="20"/>
                <w:szCs w:val="20"/>
              </w:rPr>
            </w:pPr>
            <w:proofErr w:type="spellStart"/>
            <w:r w:rsidRPr="001A1FCC">
              <w:rPr>
                <w:sz w:val="20"/>
                <w:szCs w:val="20"/>
              </w:rPr>
              <w:t>AD’s</w:t>
            </w:r>
            <w:proofErr w:type="spellEnd"/>
            <w:r w:rsidRPr="001A1FCC">
              <w:rPr>
                <w:sz w:val="20"/>
                <w:szCs w:val="20"/>
              </w:rPr>
              <w:t xml:space="preserve"> regime voor </w:t>
            </w:r>
          </w:p>
          <w:p w14:paraId="6A9540E6" w14:textId="77777777" w:rsidR="00B057F3" w:rsidRPr="001A1FCC" w:rsidRDefault="00B057F3">
            <w:pPr>
              <w:rPr>
                <w:sz w:val="20"/>
                <w:szCs w:val="20"/>
              </w:rPr>
            </w:pPr>
            <w:r w:rsidRPr="001A1FCC">
              <w:rPr>
                <w:sz w:val="20"/>
                <w:szCs w:val="20"/>
              </w:rPr>
              <w:t xml:space="preserve">goederen/diensten gaat uit van fysieke aflevering, schriftelijke acceptatie, twaalf maanden garantie, </w:t>
            </w:r>
          </w:p>
          <w:p w14:paraId="7AE795E3" w14:textId="77777777" w:rsidR="00B057F3" w:rsidRPr="001A1FCC" w:rsidRDefault="00B057F3">
            <w:pPr>
              <w:spacing w:after="1"/>
              <w:rPr>
                <w:sz w:val="20"/>
                <w:szCs w:val="20"/>
              </w:rPr>
            </w:pPr>
            <w:r w:rsidRPr="001A1FCC">
              <w:rPr>
                <w:sz w:val="20"/>
                <w:szCs w:val="20"/>
              </w:rPr>
              <w:t>onderdelenbeschikbaarheid en AD-keuring. Dit past niet goed op administratieve levering/</w:t>
            </w:r>
            <w:proofErr w:type="spellStart"/>
            <w:r w:rsidRPr="001A1FCC">
              <w:rPr>
                <w:sz w:val="20"/>
                <w:szCs w:val="20"/>
              </w:rPr>
              <w:t>teruglevering</w:t>
            </w:r>
            <w:proofErr w:type="spellEnd"/>
            <w:r w:rsidRPr="001A1FCC">
              <w:rPr>
                <w:sz w:val="20"/>
                <w:szCs w:val="20"/>
              </w:rPr>
              <w:t xml:space="preserve"> van elektriciteit via </w:t>
            </w:r>
          </w:p>
          <w:p w14:paraId="216E199B" w14:textId="77777777" w:rsidR="00B057F3" w:rsidRPr="001A1FCC" w:rsidRDefault="00B057F3">
            <w:pPr>
              <w:spacing w:line="259" w:lineRule="auto"/>
              <w:rPr>
                <w:sz w:val="20"/>
                <w:szCs w:val="20"/>
              </w:rPr>
            </w:pPr>
            <w:r w:rsidRPr="001A1FCC">
              <w:rPr>
                <w:sz w:val="20"/>
                <w:szCs w:val="20"/>
              </w:rPr>
              <w:t>systeembeheerder en allocatiepunten.</w:t>
            </w:r>
            <w:r w:rsidRPr="001A1FCC">
              <w:rPr>
                <w:rFonts w:eastAsia="Calibri" w:cs="Calibri"/>
                <w:sz w:val="20"/>
                <w:szCs w:val="20"/>
              </w:rPr>
              <w:t xml:space="preserve"> </w:t>
            </w:r>
          </w:p>
        </w:tc>
        <w:tc>
          <w:tcPr>
            <w:tcW w:w="1169" w:type="pct"/>
            <w:tcBorders>
              <w:top w:val="single" w:sz="4" w:space="0" w:color="000000"/>
              <w:left w:val="single" w:sz="4" w:space="0" w:color="000000"/>
              <w:bottom w:val="single" w:sz="4" w:space="0" w:color="000000"/>
              <w:right w:val="single" w:sz="4" w:space="0" w:color="000000"/>
            </w:tcBorders>
          </w:tcPr>
          <w:p w14:paraId="17D917C4" w14:textId="77777777" w:rsidR="00B057F3" w:rsidRPr="001A1FCC" w:rsidRDefault="00B057F3">
            <w:pPr>
              <w:spacing w:line="259" w:lineRule="auto"/>
              <w:rPr>
                <w:sz w:val="20"/>
                <w:szCs w:val="20"/>
              </w:rPr>
            </w:pPr>
            <w:r w:rsidRPr="001A1FCC">
              <w:rPr>
                <w:sz w:val="20"/>
                <w:szCs w:val="20"/>
              </w:rPr>
              <w:t xml:space="preserve">Voor </w:t>
            </w:r>
          </w:p>
          <w:p w14:paraId="7E71867A" w14:textId="77777777" w:rsidR="00B057F3" w:rsidRPr="001A1FCC" w:rsidRDefault="00B057F3">
            <w:pPr>
              <w:spacing w:line="259" w:lineRule="auto"/>
              <w:rPr>
                <w:sz w:val="20"/>
                <w:szCs w:val="20"/>
              </w:rPr>
            </w:pPr>
            <w:r w:rsidRPr="001A1FCC">
              <w:rPr>
                <w:sz w:val="20"/>
                <w:szCs w:val="20"/>
              </w:rPr>
              <w:t>levering/</w:t>
            </w:r>
            <w:proofErr w:type="spellStart"/>
            <w:r w:rsidRPr="001A1FCC">
              <w:rPr>
                <w:sz w:val="20"/>
                <w:szCs w:val="20"/>
              </w:rPr>
              <w:t>teruglevering</w:t>
            </w:r>
            <w:proofErr w:type="spellEnd"/>
            <w:r w:rsidRPr="001A1FCC">
              <w:rPr>
                <w:sz w:val="20"/>
                <w:szCs w:val="20"/>
              </w:rPr>
              <w:t xml:space="preserve"> van energie gelden uitsluitend de voorwaarden van Leverancier over levering, </w:t>
            </w:r>
            <w:proofErr w:type="spellStart"/>
            <w:r w:rsidRPr="001A1FCC">
              <w:rPr>
                <w:sz w:val="20"/>
                <w:szCs w:val="20"/>
              </w:rPr>
              <w:t>teruglevering</w:t>
            </w:r>
            <w:proofErr w:type="spellEnd"/>
            <w:r w:rsidRPr="001A1FCC">
              <w:rPr>
                <w:sz w:val="20"/>
                <w:szCs w:val="20"/>
              </w:rPr>
              <w:t>, meetgegevens, systeembeheerder, allocatiepunt en facturatie.</w:t>
            </w:r>
            <w:r w:rsidRPr="001A1FCC">
              <w:rPr>
                <w:rFonts w:eastAsia="Calibri" w:cs="Calibri"/>
                <w:sz w:val="20"/>
                <w:szCs w:val="20"/>
              </w:rPr>
              <w:t xml:space="preserve"> </w:t>
            </w:r>
          </w:p>
        </w:tc>
        <w:tc>
          <w:tcPr>
            <w:tcW w:w="1162" w:type="pct"/>
            <w:tcBorders>
              <w:top w:val="single" w:sz="4" w:space="0" w:color="000000"/>
              <w:left w:val="single" w:sz="4" w:space="0" w:color="000000"/>
              <w:bottom w:val="single" w:sz="4" w:space="0" w:color="000000"/>
              <w:right w:val="single" w:sz="4" w:space="0" w:color="000000"/>
            </w:tcBorders>
          </w:tcPr>
          <w:p w14:paraId="5DFCB847" w14:textId="3E71FC6A" w:rsidR="00B057F3" w:rsidRPr="00563775" w:rsidRDefault="00CE552D">
            <w:pPr>
              <w:spacing w:line="259" w:lineRule="auto"/>
              <w:rPr>
                <w:sz w:val="20"/>
                <w:szCs w:val="20"/>
              </w:rPr>
            </w:pPr>
            <w:r w:rsidRPr="00563775">
              <w:rPr>
                <w:color w:val="000000" w:themeColor="text1"/>
                <w:sz w:val="20"/>
                <w:szCs w:val="20"/>
              </w:rPr>
              <w:t>Opdrachtgever is</w:t>
            </w:r>
            <w:r w:rsidR="00D06F1C" w:rsidRPr="00563775">
              <w:rPr>
                <w:color w:val="000000" w:themeColor="text1"/>
                <w:sz w:val="20"/>
                <w:szCs w:val="20"/>
              </w:rPr>
              <w:t xml:space="preserve"> akkoord met uw voorstel </w:t>
            </w:r>
            <w:r w:rsidR="00563775" w:rsidRPr="00563775">
              <w:rPr>
                <w:color w:val="000000" w:themeColor="text1"/>
                <w:sz w:val="20"/>
                <w:szCs w:val="20"/>
              </w:rPr>
              <w:t xml:space="preserve">voor </w:t>
            </w:r>
            <w:r w:rsidR="00952D56" w:rsidRPr="00563775">
              <w:rPr>
                <w:color w:val="000000" w:themeColor="text1"/>
                <w:sz w:val="20"/>
                <w:szCs w:val="20"/>
              </w:rPr>
              <w:t xml:space="preserve">energielevering en </w:t>
            </w:r>
            <w:proofErr w:type="spellStart"/>
            <w:r w:rsidR="00952D56" w:rsidRPr="00563775">
              <w:rPr>
                <w:color w:val="000000" w:themeColor="text1"/>
                <w:sz w:val="20"/>
                <w:szCs w:val="20"/>
              </w:rPr>
              <w:t>teruglevering</w:t>
            </w:r>
            <w:proofErr w:type="spellEnd"/>
            <w:r w:rsidR="00952D56" w:rsidRPr="00563775">
              <w:rPr>
                <w:color w:val="000000" w:themeColor="text1"/>
                <w:sz w:val="20"/>
                <w:szCs w:val="20"/>
              </w:rPr>
              <w:t xml:space="preserve"> de voorwaarden van Leverancier </w:t>
            </w:r>
            <w:r w:rsidR="00563775" w:rsidRPr="00563775">
              <w:rPr>
                <w:color w:val="000000" w:themeColor="text1"/>
                <w:sz w:val="20"/>
                <w:szCs w:val="20"/>
              </w:rPr>
              <w:t xml:space="preserve">die </w:t>
            </w:r>
            <w:r w:rsidR="00952D56" w:rsidRPr="00563775">
              <w:rPr>
                <w:color w:val="000000" w:themeColor="text1"/>
                <w:sz w:val="20"/>
                <w:szCs w:val="20"/>
              </w:rPr>
              <w:t>gelden op het gebied van levering, meetgegevens en facturatie</w:t>
            </w:r>
            <w:r w:rsidR="00563775" w:rsidRPr="00563775">
              <w:rPr>
                <w:color w:val="000000" w:themeColor="text1"/>
                <w:sz w:val="20"/>
                <w:szCs w:val="20"/>
              </w:rPr>
              <w:t>.</w:t>
            </w:r>
          </w:p>
        </w:tc>
      </w:tr>
    </w:tbl>
    <w:p w14:paraId="76D3D878" w14:textId="1A763179" w:rsidR="00140CBA" w:rsidRPr="001A1FCC" w:rsidRDefault="00140CBA">
      <w:pPr>
        <w:rPr>
          <w:sz w:val="20"/>
          <w:szCs w:val="20"/>
        </w:rPr>
      </w:pPr>
    </w:p>
    <w:tbl>
      <w:tblPr>
        <w:tblStyle w:val="TableGrid"/>
        <w:tblW w:w="5000" w:type="pct"/>
        <w:tblInd w:w="0" w:type="dxa"/>
        <w:tblCellMar>
          <w:top w:w="5" w:type="dxa"/>
          <w:left w:w="108" w:type="dxa"/>
          <w:right w:w="90" w:type="dxa"/>
        </w:tblCellMar>
        <w:tblLook w:val="04A0" w:firstRow="1" w:lastRow="0" w:firstColumn="1" w:lastColumn="0" w:noHBand="0" w:noVBand="1"/>
      </w:tblPr>
      <w:tblGrid>
        <w:gridCol w:w="722"/>
        <w:gridCol w:w="2463"/>
        <w:gridCol w:w="4285"/>
        <w:gridCol w:w="3272"/>
        <w:gridCol w:w="3252"/>
      </w:tblGrid>
      <w:tr w:rsidR="00B057F3" w:rsidRPr="001A1FCC" w14:paraId="7BDF68BB" w14:textId="57F0A1DB" w:rsidTr="00C76D0C">
        <w:trPr>
          <w:trHeight w:val="2646"/>
        </w:trPr>
        <w:tc>
          <w:tcPr>
            <w:tcW w:w="258" w:type="pct"/>
            <w:tcBorders>
              <w:top w:val="single" w:sz="4" w:space="0" w:color="000000"/>
              <w:left w:val="single" w:sz="4" w:space="0" w:color="000000"/>
              <w:bottom w:val="single" w:sz="4" w:space="0" w:color="000000"/>
              <w:right w:val="single" w:sz="4" w:space="0" w:color="000000"/>
            </w:tcBorders>
          </w:tcPr>
          <w:p w14:paraId="2ABA0A61" w14:textId="4A6A9B47" w:rsidR="00B057F3" w:rsidRPr="001A1FCC" w:rsidRDefault="00B057F3">
            <w:pPr>
              <w:spacing w:line="259" w:lineRule="auto"/>
              <w:rPr>
                <w:sz w:val="20"/>
                <w:szCs w:val="20"/>
              </w:rPr>
            </w:pPr>
            <w:r w:rsidRPr="001A1FCC">
              <w:rPr>
                <w:sz w:val="20"/>
                <w:szCs w:val="20"/>
              </w:rPr>
              <w:t>20</w:t>
            </w:r>
            <w:r w:rsidRPr="001A1FCC">
              <w:rPr>
                <w:rFonts w:eastAsia="Calibri" w:cs="Calibri"/>
                <w:sz w:val="20"/>
                <w:szCs w:val="20"/>
              </w:rPr>
              <w:t xml:space="preserve"> </w:t>
            </w:r>
          </w:p>
        </w:tc>
        <w:tc>
          <w:tcPr>
            <w:tcW w:w="880" w:type="pct"/>
            <w:tcBorders>
              <w:top w:val="single" w:sz="4" w:space="0" w:color="000000"/>
              <w:left w:val="single" w:sz="4" w:space="0" w:color="000000"/>
              <w:bottom w:val="single" w:sz="4" w:space="0" w:color="000000"/>
              <w:right w:val="single" w:sz="4" w:space="0" w:color="000000"/>
            </w:tcBorders>
          </w:tcPr>
          <w:p w14:paraId="3E2CE2FC" w14:textId="77777777" w:rsidR="00B057F3" w:rsidRPr="001A1FCC" w:rsidRDefault="00B057F3">
            <w:pPr>
              <w:spacing w:line="259" w:lineRule="auto"/>
              <w:rPr>
                <w:sz w:val="20"/>
                <w:szCs w:val="20"/>
              </w:rPr>
            </w:pPr>
            <w:r w:rsidRPr="001A1FCC">
              <w:rPr>
                <w:sz w:val="20"/>
                <w:szCs w:val="20"/>
              </w:rPr>
              <w:t>Art. 27.1 – opzegrecht AD</w:t>
            </w:r>
            <w:r w:rsidRPr="001A1FCC">
              <w:rPr>
                <w:rFonts w:eastAsia="Calibri" w:cs="Calibri"/>
                <w:sz w:val="20"/>
                <w:szCs w:val="20"/>
              </w:rPr>
              <w:t xml:space="preserve"> </w:t>
            </w:r>
          </w:p>
        </w:tc>
        <w:tc>
          <w:tcPr>
            <w:tcW w:w="1531" w:type="pct"/>
            <w:tcBorders>
              <w:top w:val="single" w:sz="4" w:space="0" w:color="000000"/>
              <w:left w:val="single" w:sz="4" w:space="0" w:color="000000"/>
              <w:bottom w:val="single" w:sz="4" w:space="0" w:color="000000"/>
              <w:right w:val="single" w:sz="4" w:space="0" w:color="000000"/>
            </w:tcBorders>
          </w:tcPr>
          <w:p w14:paraId="5B0CBCC8" w14:textId="77777777" w:rsidR="00B057F3" w:rsidRPr="001A1FCC" w:rsidRDefault="00B057F3">
            <w:pPr>
              <w:spacing w:line="259" w:lineRule="auto"/>
              <w:rPr>
                <w:sz w:val="20"/>
                <w:szCs w:val="20"/>
              </w:rPr>
            </w:pPr>
            <w:r w:rsidRPr="001A1FCC">
              <w:rPr>
                <w:sz w:val="20"/>
                <w:szCs w:val="20"/>
              </w:rPr>
              <w:t>AD mag de overeenkomst opzeggen met de termijn in de overeenkomst of, bij gebreke daarvan, een redelijke opzegtermijn. Voor een energiecontract voor bepaalde tijd is dit nadelig, omdat Leverancier inkoopposities en volumes kan hebben vastgelegd.</w:t>
            </w:r>
            <w:r w:rsidRPr="001A1FCC">
              <w:rPr>
                <w:rFonts w:eastAsia="Calibri" w:cs="Calibri"/>
                <w:sz w:val="20"/>
                <w:szCs w:val="20"/>
              </w:rPr>
              <w:t xml:space="preserve"> </w:t>
            </w:r>
          </w:p>
        </w:tc>
        <w:tc>
          <w:tcPr>
            <w:tcW w:w="1169" w:type="pct"/>
            <w:tcBorders>
              <w:top w:val="single" w:sz="4" w:space="0" w:color="000000"/>
              <w:left w:val="single" w:sz="4" w:space="0" w:color="000000"/>
              <w:bottom w:val="single" w:sz="4" w:space="0" w:color="000000"/>
              <w:right w:val="single" w:sz="4" w:space="0" w:color="000000"/>
            </w:tcBorders>
          </w:tcPr>
          <w:p w14:paraId="12B31954" w14:textId="30039656" w:rsidR="00B057F3" w:rsidRPr="001A1FCC" w:rsidRDefault="00B057F3">
            <w:pPr>
              <w:spacing w:line="259" w:lineRule="auto"/>
              <w:rPr>
                <w:sz w:val="20"/>
                <w:szCs w:val="20"/>
              </w:rPr>
            </w:pPr>
            <w:r w:rsidRPr="001A1FCC">
              <w:rPr>
                <w:sz w:val="20"/>
                <w:szCs w:val="20"/>
              </w:rPr>
              <w:t>Tussentijdse opzegging door AD is niet mogelijk, tenzij de voorwaarden van Leverancier of de overeenkomst daarin voorzien en AD de toepasselijke opzegvergoeding/schade</w:t>
            </w:r>
            <w:r w:rsidR="009A437E">
              <w:rPr>
                <w:sz w:val="20"/>
                <w:szCs w:val="20"/>
              </w:rPr>
              <w:t xml:space="preserve"> </w:t>
            </w:r>
            <w:r w:rsidRPr="001A1FCC">
              <w:rPr>
                <w:sz w:val="20"/>
                <w:szCs w:val="20"/>
              </w:rPr>
              <w:t>vergoeding betaalt.</w:t>
            </w:r>
            <w:r w:rsidRPr="001A1FCC">
              <w:rPr>
                <w:rFonts w:eastAsia="Calibri" w:cs="Calibri"/>
                <w:sz w:val="20"/>
                <w:szCs w:val="20"/>
              </w:rPr>
              <w:t xml:space="preserve"> </w:t>
            </w:r>
          </w:p>
        </w:tc>
        <w:tc>
          <w:tcPr>
            <w:tcW w:w="1162" w:type="pct"/>
            <w:tcBorders>
              <w:top w:val="single" w:sz="4" w:space="0" w:color="000000"/>
              <w:left w:val="single" w:sz="4" w:space="0" w:color="000000"/>
              <w:bottom w:val="single" w:sz="4" w:space="0" w:color="000000"/>
              <w:right w:val="single" w:sz="4" w:space="0" w:color="000000"/>
            </w:tcBorders>
          </w:tcPr>
          <w:p w14:paraId="457E3F1A" w14:textId="326377B3" w:rsidR="00B057F3" w:rsidRPr="008C1084" w:rsidRDefault="009A437E">
            <w:pPr>
              <w:spacing w:line="259" w:lineRule="auto"/>
              <w:rPr>
                <w:color w:val="EE0000"/>
                <w:sz w:val="20"/>
                <w:szCs w:val="20"/>
              </w:rPr>
            </w:pPr>
            <w:r w:rsidRPr="008C1084">
              <w:rPr>
                <w:color w:val="000000" w:themeColor="text1"/>
                <w:sz w:val="20"/>
                <w:szCs w:val="20"/>
              </w:rPr>
              <w:t xml:space="preserve">Opdrachtgever </w:t>
            </w:r>
            <w:r w:rsidR="008C1084" w:rsidRPr="008C1084">
              <w:rPr>
                <w:color w:val="000000" w:themeColor="text1"/>
                <w:sz w:val="20"/>
                <w:szCs w:val="20"/>
              </w:rPr>
              <w:t>gaat</w:t>
            </w:r>
            <w:r w:rsidRPr="008C1084">
              <w:rPr>
                <w:color w:val="000000" w:themeColor="text1"/>
                <w:sz w:val="20"/>
                <w:szCs w:val="20"/>
              </w:rPr>
              <w:t xml:space="preserve"> niet akkoord</w:t>
            </w:r>
            <w:r w:rsidR="008C1084" w:rsidRPr="008C1084">
              <w:rPr>
                <w:color w:val="000000" w:themeColor="text1"/>
                <w:sz w:val="20"/>
                <w:szCs w:val="20"/>
              </w:rPr>
              <w:t xml:space="preserve"> met het voorstel. Opdrachtgever houdt </w:t>
            </w:r>
            <w:r w:rsidR="00140CBA" w:rsidRPr="008C1084">
              <w:rPr>
                <w:color w:val="000000" w:themeColor="text1"/>
                <w:sz w:val="20"/>
                <w:szCs w:val="20"/>
              </w:rPr>
              <w:t>vast aan het recht om de overeenkomst tussentijds op te zeggen met inachtneming van een redelijke opzegtermijn, waarbij AD uitsluitend de reeds gemaakte en aantoonbare kosten van Leverancier vergoedt die direct voortvloeien uit de opzegging. Winstderving, toekomstige kosten of een algemene opzegvergoeding zijn uitdrukkelijk uitgesloten.</w:t>
            </w:r>
          </w:p>
        </w:tc>
      </w:tr>
    </w:tbl>
    <w:p w14:paraId="544784D0" w14:textId="77777777" w:rsidR="00C76D0C" w:rsidRPr="001A1FCC" w:rsidRDefault="00C76D0C">
      <w:pPr>
        <w:rPr>
          <w:sz w:val="20"/>
          <w:szCs w:val="20"/>
        </w:rPr>
      </w:pPr>
      <w:r w:rsidRPr="001A1FCC">
        <w:rPr>
          <w:sz w:val="20"/>
          <w:szCs w:val="20"/>
        </w:rPr>
        <w:br w:type="page"/>
      </w:r>
    </w:p>
    <w:tbl>
      <w:tblPr>
        <w:tblStyle w:val="TableGrid"/>
        <w:tblW w:w="5000" w:type="pct"/>
        <w:tblInd w:w="0" w:type="dxa"/>
        <w:tblCellMar>
          <w:top w:w="5" w:type="dxa"/>
          <w:left w:w="108" w:type="dxa"/>
          <w:right w:w="90" w:type="dxa"/>
        </w:tblCellMar>
        <w:tblLook w:val="04A0" w:firstRow="1" w:lastRow="0" w:firstColumn="1" w:lastColumn="0" w:noHBand="0" w:noVBand="1"/>
      </w:tblPr>
      <w:tblGrid>
        <w:gridCol w:w="722"/>
        <w:gridCol w:w="2107"/>
        <w:gridCol w:w="2978"/>
        <w:gridCol w:w="3401"/>
        <w:gridCol w:w="4786"/>
      </w:tblGrid>
      <w:tr w:rsidR="00B057F3" w:rsidRPr="001A1FCC" w14:paraId="752683E2" w14:textId="3C98A308" w:rsidTr="005D5595">
        <w:trPr>
          <w:trHeight w:val="3233"/>
        </w:trPr>
        <w:tc>
          <w:tcPr>
            <w:tcW w:w="258" w:type="pct"/>
            <w:tcBorders>
              <w:top w:val="single" w:sz="4" w:space="0" w:color="000000"/>
              <w:left w:val="single" w:sz="4" w:space="0" w:color="000000"/>
              <w:bottom w:val="single" w:sz="4" w:space="0" w:color="000000"/>
              <w:right w:val="single" w:sz="4" w:space="0" w:color="000000"/>
            </w:tcBorders>
          </w:tcPr>
          <w:p w14:paraId="44C1B722" w14:textId="22A2A2AD" w:rsidR="00B057F3" w:rsidRPr="001A1FCC" w:rsidRDefault="00B057F3">
            <w:pPr>
              <w:spacing w:line="259" w:lineRule="auto"/>
              <w:rPr>
                <w:sz w:val="20"/>
                <w:szCs w:val="20"/>
              </w:rPr>
            </w:pPr>
            <w:r w:rsidRPr="001A1FCC">
              <w:rPr>
                <w:sz w:val="20"/>
                <w:szCs w:val="20"/>
              </w:rPr>
              <w:lastRenderedPageBreak/>
              <w:t>21</w:t>
            </w:r>
            <w:r w:rsidRPr="001A1FCC">
              <w:rPr>
                <w:rFonts w:eastAsia="Calibri" w:cs="Calibri"/>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569B6E17" w14:textId="77777777" w:rsidR="00B057F3" w:rsidRPr="001A1FCC" w:rsidRDefault="00B057F3">
            <w:pPr>
              <w:spacing w:line="259" w:lineRule="auto"/>
              <w:rPr>
                <w:sz w:val="20"/>
                <w:szCs w:val="20"/>
              </w:rPr>
            </w:pPr>
            <w:r w:rsidRPr="001A1FCC">
              <w:rPr>
                <w:sz w:val="20"/>
                <w:szCs w:val="20"/>
              </w:rPr>
              <w:t>Art. 28.1 – ontbinding bij change of control, fusie/splitsing/</w:t>
            </w:r>
            <w:proofErr w:type="spellStart"/>
            <w:r w:rsidRPr="001A1FCC">
              <w:rPr>
                <w:sz w:val="20"/>
                <w:szCs w:val="20"/>
              </w:rPr>
              <w:t>be</w:t>
            </w:r>
            <w:proofErr w:type="spellEnd"/>
            <w:r w:rsidRPr="001A1FCC">
              <w:rPr>
                <w:sz w:val="20"/>
                <w:szCs w:val="20"/>
              </w:rPr>
              <w:t xml:space="preserve"> </w:t>
            </w:r>
            <w:proofErr w:type="spellStart"/>
            <w:r w:rsidRPr="001A1FCC">
              <w:rPr>
                <w:sz w:val="20"/>
                <w:szCs w:val="20"/>
              </w:rPr>
              <w:t>drijfsoverdracht</w:t>
            </w:r>
            <w:proofErr w:type="spellEnd"/>
            <w:r w:rsidRPr="001A1FCC">
              <w:rPr>
                <w:rFonts w:eastAsia="Calibri" w:cs="Calibri"/>
                <w:sz w:val="20"/>
                <w:szCs w:val="20"/>
              </w:rPr>
              <w:t xml:space="preserve"> </w:t>
            </w:r>
          </w:p>
        </w:tc>
        <w:tc>
          <w:tcPr>
            <w:tcW w:w="1064" w:type="pct"/>
            <w:tcBorders>
              <w:top w:val="single" w:sz="4" w:space="0" w:color="000000"/>
              <w:left w:val="single" w:sz="4" w:space="0" w:color="000000"/>
              <w:bottom w:val="single" w:sz="4" w:space="0" w:color="000000"/>
              <w:right w:val="single" w:sz="4" w:space="0" w:color="000000"/>
            </w:tcBorders>
          </w:tcPr>
          <w:p w14:paraId="23DB40EC" w14:textId="77777777" w:rsidR="00B057F3" w:rsidRPr="001A1FCC" w:rsidRDefault="00B057F3">
            <w:pPr>
              <w:spacing w:line="259" w:lineRule="auto"/>
              <w:rPr>
                <w:sz w:val="20"/>
                <w:szCs w:val="20"/>
              </w:rPr>
            </w:pPr>
            <w:r w:rsidRPr="001A1FCC">
              <w:rPr>
                <w:sz w:val="20"/>
                <w:szCs w:val="20"/>
              </w:rPr>
              <w:t xml:space="preserve">AD kan onmiddellijk ontbinden </w:t>
            </w:r>
          </w:p>
          <w:p w14:paraId="2D566C09" w14:textId="77777777" w:rsidR="00B057F3" w:rsidRPr="001A1FCC" w:rsidRDefault="00B057F3">
            <w:pPr>
              <w:spacing w:line="259" w:lineRule="auto"/>
              <w:rPr>
                <w:sz w:val="20"/>
                <w:szCs w:val="20"/>
              </w:rPr>
            </w:pPr>
            <w:r w:rsidRPr="001A1FCC">
              <w:rPr>
                <w:sz w:val="20"/>
                <w:szCs w:val="20"/>
              </w:rPr>
              <w:t xml:space="preserve">bij o.a. wijziging van </w:t>
            </w:r>
          </w:p>
          <w:p w14:paraId="677B67FD" w14:textId="77777777" w:rsidR="00B057F3" w:rsidRPr="001A1FCC" w:rsidRDefault="00B057F3">
            <w:pPr>
              <w:spacing w:line="259" w:lineRule="auto"/>
              <w:rPr>
                <w:sz w:val="20"/>
                <w:szCs w:val="20"/>
              </w:rPr>
            </w:pPr>
            <w:r w:rsidRPr="001A1FCC">
              <w:rPr>
                <w:sz w:val="20"/>
                <w:szCs w:val="20"/>
              </w:rPr>
              <w:t>zeggenschap, fusie, splitsing of overdracht van bedrijf. Dit is te ruim, omdat Leverancier rechten en verplichtingen binnen de groep of aan rechtsopvolgers moet kunnen overdragen zonder dat dit automatisch beëindiging triggert.</w:t>
            </w:r>
            <w:r w:rsidRPr="001A1FCC">
              <w:rPr>
                <w:rFonts w:eastAsia="Calibri" w:cs="Calibri"/>
                <w:sz w:val="20"/>
                <w:szCs w:val="20"/>
              </w:rPr>
              <w:t xml:space="preserve"> </w:t>
            </w:r>
          </w:p>
        </w:tc>
        <w:tc>
          <w:tcPr>
            <w:tcW w:w="1215" w:type="pct"/>
            <w:tcBorders>
              <w:top w:val="single" w:sz="4" w:space="0" w:color="000000"/>
              <w:left w:val="single" w:sz="4" w:space="0" w:color="000000"/>
              <w:bottom w:val="single" w:sz="4" w:space="0" w:color="000000"/>
              <w:right w:val="single" w:sz="4" w:space="0" w:color="000000"/>
            </w:tcBorders>
          </w:tcPr>
          <w:p w14:paraId="04514322" w14:textId="77777777" w:rsidR="00B057F3" w:rsidRPr="001A1FCC" w:rsidRDefault="00B057F3">
            <w:pPr>
              <w:rPr>
                <w:sz w:val="20"/>
                <w:szCs w:val="20"/>
              </w:rPr>
            </w:pPr>
            <w:r w:rsidRPr="001A1FCC">
              <w:rPr>
                <w:sz w:val="20"/>
                <w:szCs w:val="20"/>
              </w:rPr>
              <w:t xml:space="preserve">Niet van toepassing voor zover dit ziet op interne reorganisatie, </w:t>
            </w:r>
          </w:p>
          <w:p w14:paraId="3C892A3F" w14:textId="77777777" w:rsidR="00B057F3" w:rsidRPr="001A1FCC" w:rsidRDefault="00B057F3">
            <w:pPr>
              <w:spacing w:line="259" w:lineRule="auto"/>
              <w:rPr>
                <w:sz w:val="20"/>
                <w:szCs w:val="20"/>
              </w:rPr>
            </w:pPr>
            <w:r w:rsidRPr="001A1FCC">
              <w:rPr>
                <w:sz w:val="20"/>
                <w:szCs w:val="20"/>
              </w:rPr>
              <w:t>groepswijzigingen, fusie, splitsing of overdracht binnen de groep van Leverancier of aan rechtsopvolgers.</w:t>
            </w:r>
            <w:r w:rsidRPr="001A1FCC">
              <w:rPr>
                <w:rFonts w:eastAsia="Calibri" w:cs="Calibri"/>
                <w:sz w:val="20"/>
                <w:szCs w:val="20"/>
              </w:rPr>
              <w:t xml:space="preserve"> </w:t>
            </w:r>
            <w:proofErr w:type="spellStart"/>
            <w:r w:rsidRPr="001A1FCC">
              <w:rPr>
                <w:sz w:val="20"/>
                <w:szCs w:val="20"/>
              </w:rPr>
              <w:t>Ontbin</w:t>
            </w:r>
            <w:proofErr w:type="spellEnd"/>
            <w:r w:rsidRPr="001A1FCC">
              <w:rPr>
                <w:sz w:val="20"/>
                <w:szCs w:val="20"/>
              </w:rPr>
              <w:t xml:space="preserve"> ding alleen bij wezenlijk negatieve impact op nakoming en na overleg.</w:t>
            </w:r>
            <w:r w:rsidRPr="001A1FCC">
              <w:rPr>
                <w:rFonts w:eastAsia="Calibri" w:cs="Calibri"/>
                <w:sz w:val="20"/>
                <w:szCs w:val="20"/>
              </w:rPr>
              <w:t xml:space="preserve"> </w:t>
            </w:r>
          </w:p>
        </w:tc>
        <w:tc>
          <w:tcPr>
            <w:tcW w:w="1710" w:type="pct"/>
            <w:tcBorders>
              <w:top w:val="single" w:sz="4" w:space="0" w:color="000000"/>
              <w:left w:val="single" w:sz="4" w:space="0" w:color="000000"/>
              <w:bottom w:val="single" w:sz="4" w:space="0" w:color="000000"/>
              <w:right w:val="single" w:sz="4" w:space="0" w:color="000000"/>
            </w:tcBorders>
          </w:tcPr>
          <w:p w14:paraId="46B33CC7" w14:textId="4098C5CA" w:rsidR="00B057F3" w:rsidRPr="001A1FCC" w:rsidRDefault="00C76D0C">
            <w:pPr>
              <w:rPr>
                <w:sz w:val="20"/>
                <w:szCs w:val="20"/>
              </w:rPr>
            </w:pPr>
            <w:r w:rsidRPr="001A1FCC">
              <w:rPr>
                <w:b/>
                <w:bCs/>
                <w:color w:val="EE0000"/>
                <w:sz w:val="20"/>
                <w:szCs w:val="20"/>
              </w:rPr>
              <w:t>Reactie</w:t>
            </w:r>
            <w:r w:rsidRPr="001A1FCC">
              <w:rPr>
                <w:color w:val="EE0000"/>
                <w:sz w:val="20"/>
                <w:szCs w:val="20"/>
              </w:rPr>
              <w:t>: Wij zijn bereid te aanvaarden dat interne reorganisaties, groepswijzigingen en overdrachten binnen de groep van Leverancier geen automatisch ontbindingsrecht triggeren, mits de continuïteit van de energielevering volledig gewaarborgd blijft en alle rechten en verplichtingen uit de overeenkomst ongewijzigd overgaan op de rechtsopvolger. Bij een wezenlijk negatieve impact op de levering of bij wijziging van de contractuele voorwaarden behoudt AD zich uitdrukkelijk het recht voor om de overeenkomst te ontbinden.</w:t>
            </w:r>
          </w:p>
        </w:tc>
      </w:tr>
      <w:tr w:rsidR="00B057F3" w:rsidRPr="001A1FCC" w14:paraId="0802340F" w14:textId="5C4EA379" w:rsidTr="005D5595">
        <w:trPr>
          <w:trHeight w:val="4113"/>
        </w:trPr>
        <w:tc>
          <w:tcPr>
            <w:tcW w:w="258" w:type="pct"/>
            <w:tcBorders>
              <w:top w:val="single" w:sz="4" w:space="0" w:color="000000"/>
              <w:left w:val="single" w:sz="4" w:space="0" w:color="000000"/>
              <w:bottom w:val="single" w:sz="4" w:space="0" w:color="000000"/>
              <w:right w:val="single" w:sz="4" w:space="0" w:color="000000"/>
            </w:tcBorders>
          </w:tcPr>
          <w:p w14:paraId="619E5C80" w14:textId="77777777" w:rsidR="00B057F3" w:rsidRPr="001A1FCC" w:rsidRDefault="00B057F3">
            <w:pPr>
              <w:spacing w:line="259" w:lineRule="auto"/>
              <w:rPr>
                <w:sz w:val="20"/>
                <w:szCs w:val="20"/>
              </w:rPr>
            </w:pPr>
            <w:r w:rsidRPr="001A1FCC">
              <w:rPr>
                <w:sz w:val="20"/>
                <w:szCs w:val="20"/>
              </w:rPr>
              <w:t>22</w:t>
            </w:r>
            <w:r w:rsidRPr="001A1FCC">
              <w:rPr>
                <w:rFonts w:eastAsia="Calibri" w:cs="Calibri"/>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134F8DD1" w14:textId="77777777" w:rsidR="00B057F3" w:rsidRPr="001A1FCC" w:rsidRDefault="00B057F3">
            <w:pPr>
              <w:spacing w:line="259" w:lineRule="auto"/>
              <w:rPr>
                <w:sz w:val="20"/>
                <w:szCs w:val="20"/>
              </w:rPr>
            </w:pPr>
            <w:r w:rsidRPr="001A1FCC">
              <w:rPr>
                <w:sz w:val="20"/>
                <w:szCs w:val="20"/>
              </w:rPr>
              <w:t xml:space="preserve">Art. 28.4 – geen vergoeding bij ontbinding door AD voor </w:t>
            </w:r>
            <w:proofErr w:type="spellStart"/>
            <w:r w:rsidRPr="001A1FCC">
              <w:rPr>
                <w:sz w:val="20"/>
                <w:szCs w:val="20"/>
              </w:rPr>
              <w:t>nietverrichte</w:t>
            </w:r>
            <w:proofErr w:type="spellEnd"/>
            <w:r w:rsidRPr="001A1FCC">
              <w:rPr>
                <w:sz w:val="20"/>
                <w:szCs w:val="20"/>
              </w:rPr>
              <w:t xml:space="preserve"> prestaties</w:t>
            </w:r>
            <w:r w:rsidRPr="001A1FCC">
              <w:rPr>
                <w:rFonts w:eastAsia="Calibri" w:cs="Calibri"/>
                <w:sz w:val="20"/>
                <w:szCs w:val="20"/>
              </w:rPr>
              <w:t xml:space="preserve"> </w:t>
            </w:r>
          </w:p>
        </w:tc>
        <w:tc>
          <w:tcPr>
            <w:tcW w:w="1064" w:type="pct"/>
            <w:tcBorders>
              <w:top w:val="single" w:sz="4" w:space="0" w:color="000000"/>
              <w:left w:val="single" w:sz="4" w:space="0" w:color="000000"/>
              <w:bottom w:val="single" w:sz="4" w:space="0" w:color="000000"/>
              <w:right w:val="single" w:sz="4" w:space="0" w:color="000000"/>
            </w:tcBorders>
          </w:tcPr>
          <w:p w14:paraId="6E00534E" w14:textId="77777777" w:rsidR="00B057F3" w:rsidRPr="001A1FCC" w:rsidRDefault="00B057F3">
            <w:pPr>
              <w:rPr>
                <w:sz w:val="20"/>
                <w:szCs w:val="20"/>
              </w:rPr>
            </w:pPr>
            <w:r w:rsidRPr="001A1FCC">
              <w:rPr>
                <w:sz w:val="20"/>
                <w:szCs w:val="20"/>
              </w:rPr>
              <w:t xml:space="preserve">AD is bij ontbinding geen vergoeding verschuldigd voor niet-verrichte prestaties en onverschuldigde betalingen moeten terug met rente. Dit kan afbreuk doen aan het recht van Leverancier op vergoeding van ingekochte volumes, </w:t>
            </w:r>
          </w:p>
          <w:p w14:paraId="1D88C303" w14:textId="77777777" w:rsidR="00B057F3" w:rsidRPr="001A1FCC" w:rsidRDefault="00B057F3">
            <w:pPr>
              <w:spacing w:line="259" w:lineRule="auto"/>
              <w:rPr>
                <w:sz w:val="20"/>
                <w:szCs w:val="20"/>
              </w:rPr>
            </w:pPr>
            <w:r w:rsidRPr="001A1FCC">
              <w:rPr>
                <w:sz w:val="20"/>
                <w:szCs w:val="20"/>
              </w:rPr>
              <w:t>marktposities, opzegvergoeding, schade en reeds gemaakte kosten.</w:t>
            </w:r>
            <w:r w:rsidRPr="001A1FCC">
              <w:rPr>
                <w:rFonts w:eastAsia="Calibri" w:cs="Calibri"/>
                <w:sz w:val="20"/>
                <w:szCs w:val="20"/>
              </w:rPr>
              <w:t xml:space="preserve"> </w:t>
            </w:r>
          </w:p>
        </w:tc>
        <w:tc>
          <w:tcPr>
            <w:tcW w:w="1215" w:type="pct"/>
            <w:tcBorders>
              <w:top w:val="single" w:sz="4" w:space="0" w:color="000000"/>
              <w:left w:val="single" w:sz="4" w:space="0" w:color="000000"/>
              <w:bottom w:val="single" w:sz="4" w:space="0" w:color="000000"/>
              <w:right w:val="single" w:sz="4" w:space="0" w:color="000000"/>
            </w:tcBorders>
          </w:tcPr>
          <w:p w14:paraId="22ADFE51" w14:textId="77777777" w:rsidR="00B057F3" w:rsidRPr="001A1FCC" w:rsidRDefault="00B057F3">
            <w:pPr>
              <w:spacing w:line="259" w:lineRule="auto"/>
              <w:ind w:right="9"/>
              <w:rPr>
                <w:sz w:val="20"/>
                <w:szCs w:val="20"/>
              </w:rPr>
            </w:pPr>
            <w:r w:rsidRPr="001A1FCC">
              <w:rPr>
                <w:sz w:val="20"/>
                <w:szCs w:val="20"/>
              </w:rPr>
              <w:t>Niet van toepassing voor zover dit rechten van Leverancier op vergoeding, opzegvergoeding, schade, ingekochte volumes, marktposities of overige kosten uitsluit.</w:t>
            </w:r>
            <w:r w:rsidRPr="001A1FCC">
              <w:rPr>
                <w:rFonts w:eastAsia="Calibri" w:cs="Calibri"/>
                <w:sz w:val="20"/>
                <w:szCs w:val="20"/>
              </w:rPr>
              <w:t xml:space="preserve"> </w:t>
            </w:r>
            <w:r w:rsidRPr="001A1FCC">
              <w:rPr>
                <w:sz w:val="20"/>
                <w:szCs w:val="20"/>
              </w:rPr>
              <w:t>De financiële afwikkeling vindt plaats conform de overeenkomst en de voorwaarden van Leverancier.</w:t>
            </w:r>
            <w:r w:rsidRPr="001A1FCC">
              <w:rPr>
                <w:rFonts w:eastAsia="Calibri" w:cs="Calibri"/>
                <w:sz w:val="20"/>
                <w:szCs w:val="20"/>
              </w:rPr>
              <w:t xml:space="preserve"> </w:t>
            </w:r>
          </w:p>
        </w:tc>
        <w:tc>
          <w:tcPr>
            <w:tcW w:w="1710" w:type="pct"/>
            <w:tcBorders>
              <w:top w:val="single" w:sz="4" w:space="0" w:color="000000"/>
              <w:left w:val="single" w:sz="4" w:space="0" w:color="000000"/>
              <w:bottom w:val="single" w:sz="4" w:space="0" w:color="000000"/>
              <w:right w:val="single" w:sz="4" w:space="0" w:color="000000"/>
            </w:tcBorders>
          </w:tcPr>
          <w:p w14:paraId="4FE23950" w14:textId="1B458730" w:rsidR="00B057F3" w:rsidRPr="001A1FCC" w:rsidRDefault="004B083D">
            <w:pPr>
              <w:spacing w:line="259" w:lineRule="auto"/>
              <w:ind w:right="9"/>
              <w:rPr>
                <w:sz w:val="20"/>
                <w:szCs w:val="20"/>
              </w:rPr>
            </w:pPr>
            <w:r w:rsidRPr="001A1FCC">
              <w:rPr>
                <w:b/>
                <w:bCs/>
                <w:color w:val="EE0000"/>
                <w:sz w:val="20"/>
                <w:szCs w:val="20"/>
              </w:rPr>
              <w:t>Reactie</w:t>
            </w:r>
            <w:r w:rsidRPr="001A1FCC">
              <w:rPr>
                <w:sz w:val="20"/>
                <w:szCs w:val="20"/>
              </w:rPr>
              <w:t xml:space="preserve">: </w:t>
            </w:r>
            <w:r w:rsidRPr="001A1FCC">
              <w:rPr>
                <w:color w:val="EE0000"/>
                <w:sz w:val="20"/>
                <w:szCs w:val="20"/>
              </w:rPr>
              <w:t>Wij houden vast aan het uitgangspunt dat AD bij ontbinding geen vergoeding verschuldigd is voor niet-verrichte prestaties, maar zijn bereid te aanvaarden dat Leverancier aanspraak kan maken op vergoeding van reeds gemaakte en aantoonbare kosten die direct voortvloeien uit de ontbinding, zoals al ingekochte energievolumes. Winstderving, toekomstige marktposities of een algemene opzegvergoeding zijn uitdrukkelijk uitgesloten</w:t>
            </w:r>
            <w:r w:rsidRPr="001A1FCC">
              <w:rPr>
                <w:sz w:val="20"/>
                <w:szCs w:val="20"/>
              </w:rPr>
              <w:t>.</w:t>
            </w:r>
          </w:p>
        </w:tc>
      </w:tr>
    </w:tbl>
    <w:p w14:paraId="5793D3A1" w14:textId="77777777" w:rsidR="00967C55" w:rsidRPr="001A1FCC" w:rsidRDefault="00967C55">
      <w:pPr>
        <w:spacing w:after="0" w:line="259" w:lineRule="auto"/>
        <w:jc w:val="both"/>
        <w:rPr>
          <w:sz w:val="20"/>
          <w:szCs w:val="20"/>
        </w:rPr>
      </w:pPr>
      <w:r w:rsidRPr="001A1FCC">
        <w:rPr>
          <w:rFonts w:eastAsia="Calibri" w:cs="Calibri"/>
          <w:sz w:val="20"/>
          <w:szCs w:val="20"/>
        </w:rPr>
        <w:t xml:space="preserve"> </w:t>
      </w:r>
    </w:p>
    <w:p w14:paraId="0519636C" w14:textId="5D2A9975" w:rsidR="00647F7E" w:rsidRPr="001A1FCC" w:rsidRDefault="00647F7E">
      <w:pPr>
        <w:rPr>
          <w:sz w:val="20"/>
          <w:szCs w:val="20"/>
        </w:rPr>
      </w:pPr>
    </w:p>
    <w:sectPr w:rsidR="00647F7E" w:rsidRPr="001A1FCC" w:rsidSect="00BB340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A1FF2"/>
    <w:multiLevelType w:val="hybridMultilevel"/>
    <w:tmpl w:val="6E10F512"/>
    <w:lvl w:ilvl="0" w:tplc="38242D48">
      <w:start w:val="1"/>
      <w:numFmt w:val="decimal"/>
      <w:lvlText w:val="%1."/>
      <w:lvlJc w:val="left"/>
      <w:pPr>
        <w:ind w:left="705" w:hanging="720"/>
      </w:pPr>
      <w:rPr>
        <w:rFonts w:asciiTheme="minorHAnsi" w:eastAsiaTheme="minorHAnsi" w:hAnsiTheme="minorHAnsi" w:cstheme="minorBidi" w:hint="default"/>
      </w:rPr>
    </w:lvl>
    <w:lvl w:ilvl="1" w:tplc="04130019" w:tentative="1">
      <w:start w:val="1"/>
      <w:numFmt w:val="lowerLetter"/>
      <w:lvlText w:val="%2."/>
      <w:lvlJc w:val="left"/>
      <w:pPr>
        <w:ind w:left="1065" w:hanging="360"/>
      </w:pPr>
    </w:lvl>
    <w:lvl w:ilvl="2" w:tplc="0413001B" w:tentative="1">
      <w:start w:val="1"/>
      <w:numFmt w:val="lowerRoman"/>
      <w:lvlText w:val="%3."/>
      <w:lvlJc w:val="right"/>
      <w:pPr>
        <w:ind w:left="1785" w:hanging="180"/>
      </w:pPr>
    </w:lvl>
    <w:lvl w:ilvl="3" w:tplc="0413000F" w:tentative="1">
      <w:start w:val="1"/>
      <w:numFmt w:val="decimal"/>
      <w:lvlText w:val="%4."/>
      <w:lvlJc w:val="left"/>
      <w:pPr>
        <w:ind w:left="2505" w:hanging="360"/>
      </w:pPr>
    </w:lvl>
    <w:lvl w:ilvl="4" w:tplc="04130019" w:tentative="1">
      <w:start w:val="1"/>
      <w:numFmt w:val="lowerLetter"/>
      <w:lvlText w:val="%5."/>
      <w:lvlJc w:val="left"/>
      <w:pPr>
        <w:ind w:left="3225" w:hanging="360"/>
      </w:pPr>
    </w:lvl>
    <w:lvl w:ilvl="5" w:tplc="0413001B" w:tentative="1">
      <w:start w:val="1"/>
      <w:numFmt w:val="lowerRoman"/>
      <w:lvlText w:val="%6."/>
      <w:lvlJc w:val="right"/>
      <w:pPr>
        <w:ind w:left="3945" w:hanging="180"/>
      </w:pPr>
    </w:lvl>
    <w:lvl w:ilvl="6" w:tplc="0413000F" w:tentative="1">
      <w:start w:val="1"/>
      <w:numFmt w:val="decimal"/>
      <w:lvlText w:val="%7."/>
      <w:lvlJc w:val="left"/>
      <w:pPr>
        <w:ind w:left="4665" w:hanging="360"/>
      </w:pPr>
    </w:lvl>
    <w:lvl w:ilvl="7" w:tplc="04130019" w:tentative="1">
      <w:start w:val="1"/>
      <w:numFmt w:val="lowerLetter"/>
      <w:lvlText w:val="%8."/>
      <w:lvlJc w:val="left"/>
      <w:pPr>
        <w:ind w:left="5385" w:hanging="360"/>
      </w:pPr>
    </w:lvl>
    <w:lvl w:ilvl="8" w:tplc="0413001B" w:tentative="1">
      <w:start w:val="1"/>
      <w:numFmt w:val="lowerRoman"/>
      <w:lvlText w:val="%9."/>
      <w:lvlJc w:val="right"/>
      <w:pPr>
        <w:ind w:left="6105" w:hanging="180"/>
      </w:pPr>
    </w:lvl>
  </w:abstractNum>
  <w:num w:numId="1" w16cid:durableId="1342899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23"/>
    <w:rsid w:val="000513E2"/>
    <w:rsid w:val="00051515"/>
    <w:rsid w:val="00075A23"/>
    <w:rsid w:val="00083BE1"/>
    <w:rsid w:val="000A36A4"/>
    <w:rsid w:val="000F11BF"/>
    <w:rsid w:val="000F2E96"/>
    <w:rsid w:val="00140CBA"/>
    <w:rsid w:val="001429D0"/>
    <w:rsid w:val="0017786D"/>
    <w:rsid w:val="0018285E"/>
    <w:rsid w:val="00195F73"/>
    <w:rsid w:val="001A1FCC"/>
    <w:rsid w:val="001D473C"/>
    <w:rsid w:val="001F2BFF"/>
    <w:rsid w:val="001F30B6"/>
    <w:rsid w:val="002279EF"/>
    <w:rsid w:val="002336BA"/>
    <w:rsid w:val="0024639A"/>
    <w:rsid w:val="00267727"/>
    <w:rsid w:val="002B698B"/>
    <w:rsid w:val="002D3B20"/>
    <w:rsid w:val="002F2C1B"/>
    <w:rsid w:val="002F3F61"/>
    <w:rsid w:val="003161FA"/>
    <w:rsid w:val="003240A7"/>
    <w:rsid w:val="003B58AB"/>
    <w:rsid w:val="003E08CF"/>
    <w:rsid w:val="003E3F21"/>
    <w:rsid w:val="00411891"/>
    <w:rsid w:val="00466DE5"/>
    <w:rsid w:val="004A2898"/>
    <w:rsid w:val="004B083D"/>
    <w:rsid w:val="004D2536"/>
    <w:rsid w:val="00505D34"/>
    <w:rsid w:val="0055053B"/>
    <w:rsid w:val="00563775"/>
    <w:rsid w:val="00594B9C"/>
    <w:rsid w:val="005B3196"/>
    <w:rsid w:val="005D42AE"/>
    <w:rsid w:val="005D5595"/>
    <w:rsid w:val="006021EC"/>
    <w:rsid w:val="00647F7E"/>
    <w:rsid w:val="00654734"/>
    <w:rsid w:val="006926B5"/>
    <w:rsid w:val="006D0DE8"/>
    <w:rsid w:val="0071205C"/>
    <w:rsid w:val="0074096F"/>
    <w:rsid w:val="00745FF8"/>
    <w:rsid w:val="007620D2"/>
    <w:rsid w:val="00771762"/>
    <w:rsid w:val="00811EF1"/>
    <w:rsid w:val="00834239"/>
    <w:rsid w:val="0084754A"/>
    <w:rsid w:val="0087198C"/>
    <w:rsid w:val="00880FA3"/>
    <w:rsid w:val="00884037"/>
    <w:rsid w:val="008855B2"/>
    <w:rsid w:val="008866F8"/>
    <w:rsid w:val="008A4746"/>
    <w:rsid w:val="008C1084"/>
    <w:rsid w:val="008D5261"/>
    <w:rsid w:val="008E11F0"/>
    <w:rsid w:val="00952A49"/>
    <w:rsid w:val="00952D56"/>
    <w:rsid w:val="00960E6F"/>
    <w:rsid w:val="00967C55"/>
    <w:rsid w:val="00987D92"/>
    <w:rsid w:val="009A437E"/>
    <w:rsid w:val="00A0666A"/>
    <w:rsid w:val="00A13D0F"/>
    <w:rsid w:val="00A23F31"/>
    <w:rsid w:val="00A53C51"/>
    <w:rsid w:val="00A54312"/>
    <w:rsid w:val="00A8638F"/>
    <w:rsid w:val="00AC0E8E"/>
    <w:rsid w:val="00AD7775"/>
    <w:rsid w:val="00B057F3"/>
    <w:rsid w:val="00B11C2F"/>
    <w:rsid w:val="00B52EF0"/>
    <w:rsid w:val="00B77CD4"/>
    <w:rsid w:val="00B973AC"/>
    <w:rsid w:val="00BB340B"/>
    <w:rsid w:val="00C16EF2"/>
    <w:rsid w:val="00C20CDA"/>
    <w:rsid w:val="00C661C0"/>
    <w:rsid w:val="00C76D0C"/>
    <w:rsid w:val="00CB2A98"/>
    <w:rsid w:val="00CC61A4"/>
    <w:rsid w:val="00CE552D"/>
    <w:rsid w:val="00CF661A"/>
    <w:rsid w:val="00D06069"/>
    <w:rsid w:val="00D06536"/>
    <w:rsid w:val="00D06F1C"/>
    <w:rsid w:val="00D06F44"/>
    <w:rsid w:val="00D44184"/>
    <w:rsid w:val="00D535C3"/>
    <w:rsid w:val="00D71119"/>
    <w:rsid w:val="00D75C7A"/>
    <w:rsid w:val="00D879B0"/>
    <w:rsid w:val="00DB2015"/>
    <w:rsid w:val="00DB2AD9"/>
    <w:rsid w:val="00DB39EF"/>
    <w:rsid w:val="00DB5630"/>
    <w:rsid w:val="00DB6E3E"/>
    <w:rsid w:val="00DC0835"/>
    <w:rsid w:val="00DE7610"/>
    <w:rsid w:val="00DF691E"/>
    <w:rsid w:val="00E151EB"/>
    <w:rsid w:val="00E31068"/>
    <w:rsid w:val="00E3229B"/>
    <w:rsid w:val="00E76BDB"/>
    <w:rsid w:val="00EA15D5"/>
    <w:rsid w:val="00EB2065"/>
    <w:rsid w:val="00EF4BA4"/>
    <w:rsid w:val="00F141C2"/>
    <w:rsid w:val="00F15673"/>
    <w:rsid w:val="00F21C56"/>
    <w:rsid w:val="00FC2D85"/>
    <w:rsid w:val="00FD4D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62B4"/>
  <w15:chartTrackingRefBased/>
  <w15:docId w15:val="{1E729932-B18A-4CC1-B4F0-3401CCB6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75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75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75A2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75A2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75A2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75A2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75A2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75A2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75A2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5A2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75A2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75A2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75A2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75A2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75A2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75A2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75A2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75A23"/>
    <w:rPr>
      <w:rFonts w:eastAsiaTheme="majorEastAsia" w:cstheme="majorBidi"/>
      <w:color w:val="272727" w:themeColor="text1" w:themeTint="D8"/>
    </w:rPr>
  </w:style>
  <w:style w:type="paragraph" w:styleId="Titel">
    <w:name w:val="Title"/>
    <w:basedOn w:val="Standaard"/>
    <w:next w:val="Standaard"/>
    <w:link w:val="TitelChar"/>
    <w:uiPriority w:val="10"/>
    <w:qFormat/>
    <w:rsid w:val="00075A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75A2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75A2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75A2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75A2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75A23"/>
    <w:rPr>
      <w:i/>
      <w:iCs/>
      <w:color w:val="404040" w:themeColor="text1" w:themeTint="BF"/>
    </w:rPr>
  </w:style>
  <w:style w:type="paragraph" w:styleId="Lijstalinea">
    <w:name w:val="List Paragraph"/>
    <w:basedOn w:val="Standaard"/>
    <w:uiPriority w:val="34"/>
    <w:qFormat/>
    <w:rsid w:val="00075A23"/>
    <w:pPr>
      <w:ind w:left="720"/>
      <w:contextualSpacing/>
    </w:pPr>
  </w:style>
  <w:style w:type="character" w:styleId="Intensievebenadrukking">
    <w:name w:val="Intense Emphasis"/>
    <w:basedOn w:val="Standaardalinea-lettertype"/>
    <w:uiPriority w:val="21"/>
    <w:qFormat/>
    <w:rsid w:val="00075A23"/>
    <w:rPr>
      <w:i/>
      <w:iCs/>
      <w:color w:val="0F4761" w:themeColor="accent1" w:themeShade="BF"/>
    </w:rPr>
  </w:style>
  <w:style w:type="paragraph" w:styleId="Duidelijkcitaat">
    <w:name w:val="Intense Quote"/>
    <w:basedOn w:val="Standaard"/>
    <w:next w:val="Standaard"/>
    <w:link w:val="DuidelijkcitaatChar"/>
    <w:uiPriority w:val="30"/>
    <w:qFormat/>
    <w:rsid w:val="00075A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75A23"/>
    <w:rPr>
      <w:i/>
      <w:iCs/>
      <w:color w:val="0F4761" w:themeColor="accent1" w:themeShade="BF"/>
    </w:rPr>
  </w:style>
  <w:style w:type="character" w:styleId="Intensieveverwijzing">
    <w:name w:val="Intense Reference"/>
    <w:basedOn w:val="Standaardalinea-lettertype"/>
    <w:uiPriority w:val="32"/>
    <w:qFormat/>
    <w:rsid w:val="00075A23"/>
    <w:rPr>
      <w:b/>
      <w:bCs/>
      <w:smallCaps/>
      <w:color w:val="0F4761" w:themeColor="accent1" w:themeShade="BF"/>
      <w:spacing w:val="5"/>
    </w:rPr>
  </w:style>
  <w:style w:type="table" w:customStyle="1" w:styleId="TableGrid">
    <w:name w:val="TableGrid"/>
    <w:rsid w:val="00967C55"/>
    <w:pPr>
      <w:spacing w:after="0" w:line="240" w:lineRule="auto"/>
    </w:pPr>
    <w:rPr>
      <w:rFonts w:eastAsiaTheme="minorEastAsia"/>
      <w:lang w:eastAsia="nl-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91e2b1-69bb-4ef6-8742-4b1af10bd337">
      <Terms xmlns="http://schemas.microsoft.com/office/infopath/2007/PartnerControls"/>
    </lcf76f155ced4ddcb4097134ff3c332f>
    <TaxCatchAll xmlns="8d3d2cfc-1319-4070-9c67-49a1fda947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F85336969C7949A2637431311C037B" ma:contentTypeVersion="15" ma:contentTypeDescription="Een nieuw document maken." ma:contentTypeScope="" ma:versionID="49fce482381f97ebe213d7528239a646">
  <xsd:schema xmlns:xsd="http://www.w3.org/2001/XMLSchema" xmlns:xs="http://www.w3.org/2001/XMLSchema" xmlns:p="http://schemas.microsoft.com/office/2006/metadata/properties" xmlns:ns2="5891e2b1-69bb-4ef6-8742-4b1af10bd337" xmlns:ns3="8d3d2cfc-1319-4070-9c67-49a1fda94753" targetNamespace="http://schemas.microsoft.com/office/2006/metadata/properties" ma:root="true" ma:fieldsID="cd4c871d4ef0e6f7678211cb8db874bf" ns2:_="" ns3:_="">
    <xsd:import namespace="5891e2b1-69bb-4ef6-8742-4b1af10bd337"/>
    <xsd:import namespace="8d3d2cfc-1319-4070-9c67-49a1fda94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91e2b1-69bb-4ef6-8742-4b1af10bd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6de512b8-cc53-4f84-bed8-b066983db5cb"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d2cfc-1319-4070-9c67-49a1fda94753"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a4f79339-1189-4a2b-9885-1d5eb5b3442b}" ma:internalName="TaxCatchAll" ma:showField="CatchAllData" ma:web="8d3d2cfc-1319-4070-9c67-49a1fda947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9F253-F551-4269-B48B-C0359989C9B6}">
  <ds:schemaRefs>
    <ds:schemaRef ds:uri="http://schemas.openxmlformats.org/officeDocument/2006/bibliography"/>
  </ds:schemaRefs>
</ds:datastoreItem>
</file>

<file path=customXml/itemProps2.xml><?xml version="1.0" encoding="utf-8"?>
<ds:datastoreItem xmlns:ds="http://schemas.openxmlformats.org/officeDocument/2006/customXml" ds:itemID="{623A1835-CC67-438C-9F0E-80170A74ABDC}">
  <ds:schemaRefs>
    <ds:schemaRef ds:uri="http://schemas.microsoft.com/office/2006/metadata/properties"/>
    <ds:schemaRef ds:uri="http://schemas.microsoft.com/office/infopath/2007/PartnerControls"/>
    <ds:schemaRef ds:uri="5891e2b1-69bb-4ef6-8742-4b1af10bd337"/>
    <ds:schemaRef ds:uri="8d3d2cfc-1319-4070-9c67-49a1fda94753"/>
  </ds:schemaRefs>
</ds:datastoreItem>
</file>

<file path=customXml/itemProps3.xml><?xml version="1.0" encoding="utf-8"?>
<ds:datastoreItem xmlns:ds="http://schemas.openxmlformats.org/officeDocument/2006/customXml" ds:itemID="{E6366480-A076-4781-9FBA-956476766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91e2b1-69bb-4ef6-8742-4b1af10bd337"/>
    <ds:schemaRef ds:uri="8d3d2cfc-1319-4070-9c67-49a1fda947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0484A9-4DBE-48E3-8C32-FF086AA9BE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3286</Words>
  <Characters>18075</Characters>
  <Application>Microsoft Office Word</Application>
  <DocSecurity>0</DocSecurity>
  <Lines>150</Lines>
  <Paragraphs>42</Paragraphs>
  <ScaleCrop>false</ScaleCrop>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Laarman</dc:creator>
  <cp:keywords/>
  <dc:description/>
  <cp:lastModifiedBy>Toon Schellekens</cp:lastModifiedBy>
  <cp:revision>65</cp:revision>
  <dcterms:created xsi:type="dcterms:W3CDTF">2026-06-23T09:35:00Z</dcterms:created>
  <dcterms:modified xsi:type="dcterms:W3CDTF">2026-06-23T12:11:00Z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0x01010007F85336969C7949A2637431311C037B</vt:lpwstr>
  </property>
  <property fmtid="{D5CDD505-2E9C-101B-9397-08002B2CF9AE}" pid="3" name="MediaServiceImageTags">
    <vt:lpwstr/>
  </property>
</Properties>
</file>